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3DD8A">
      <w:pPr>
        <w:jc w:val="center"/>
        <w:rPr>
          <w:rFonts w:ascii="宋体" w:hAnsi="宋体" w:cs="宋体"/>
          <w:b/>
          <w:bCs/>
          <w:color w:val="353535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353535"/>
          <w:kern w:val="0"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color w:val="353535"/>
          <w:kern w:val="0"/>
          <w:sz w:val="44"/>
          <w:szCs w:val="44"/>
          <w:lang w:val="en-US" w:eastAsia="zh-CN"/>
        </w:rPr>
        <w:t>5</w:t>
      </w:r>
      <w:r>
        <w:rPr>
          <w:rFonts w:hint="eastAsia" w:ascii="宋体" w:hAnsi="宋体" w:cs="宋体"/>
          <w:b/>
          <w:bCs/>
          <w:color w:val="353535"/>
          <w:kern w:val="0"/>
          <w:sz w:val="44"/>
          <w:szCs w:val="44"/>
        </w:rPr>
        <w:t>年度本溪市溪湖区“三公”经费</w:t>
      </w:r>
    </w:p>
    <w:p w14:paraId="27AAAEAA">
      <w:pPr>
        <w:jc w:val="center"/>
        <w:rPr>
          <w:rFonts w:ascii="宋体" w:hAnsi="宋体" w:cs="宋体"/>
          <w:b/>
          <w:bCs/>
          <w:color w:val="353535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353535"/>
          <w:kern w:val="0"/>
          <w:sz w:val="44"/>
          <w:szCs w:val="44"/>
        </w:rPr>
        <w:t>决算汇总情况</w:t>
      </w:r>
    </w:p>
    <w:p w14:paraId="73CF77F0">
      <w:pPr>
        <w:widowControl/>
        <w:spacing w:line="540" w:lineRule="atLeast"/>
        <w:ind w:firstLine="640"/>
        <w:jc w:val="left"/>
        <w:rPr>
          <w:rFonts w:ascii="仿宋_GB2312" w:eastAsia="仿宋_GB2312"/>
          <w:sz w:val="32"/>
          <w:szCs w:val="32"/>
        </w:rPr>
      </w:pPr>
    </w:p>
    <w:p w14:paraId="4937926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8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eastAsia" w:ascii="仿宋_GB2312" w:eastAsia="仿宋_GB2312"/>
          <w:sz w:val="32"/>
          <w:szCs w:val="32"/>
        </w:rPr>
        <w:t>经汇总，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年本溪市溪湖区部门使用财政拨款安排的“三公”经费决算总额为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104.98</w:t>
      </w:r>
      <w:r>
        <w:rPr>
          <w:rFonts w:hint="default" w:ascii="Times New Roman" w:hAnsi="Times New Roman" w:cs="Times New Roman"/>
          <w:color w:val="auto"/>
          <w:highlight w:val="none"/>
        </w:rPr>
        <w:t>万元，为</w:t>
      </w:r>
      <w:r>
        <w:rPr>
          <w:rFonts w:hint="default" w:ascii="Times New Roman" w:hAnsi="Times New Roman" w:cs="Times New Roman"/>
          <w:color w:val="auto"/>
          <w:szCs w:val="32"/>
          <w:highlight w:val="none"/>
          <w:lang w:eastAsia="zh-CN"/>
        </w:rPr>
        <w:t>预算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191.64</w:t>
      </w:r>
      <w:r>
        <w:rPr>
          <w:rFonts w:hint="default" w:ascii="Times New Roman" w:hAnsi="Times New Roman" w:cs="Times New Roman"/>
          <w:color w:val="auto"/>
          <w:highlight w:val="none"/>
        </w:rPr>
        <w:t>万元的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54.8</w:t>
      </w:r>
      <w:r>
        <w:rPr>
          <w:rFonts w:hint="default" w:ascii="Times New Roman" w:hAnsi="Times New Roman" w:cs="Times New Roman"/>
          <w:color w:val="auto"/>
          <w:highlight w:val="none"/>
        </w:rPr>
        <w:t>%，同比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下降23.5</w:t>
      </w:r>
      <w:r>
        <w:rPr>
          <w:rFonts w:hint="default" w:ascii="Times New Roman" w:hAnsi="Times New Roman" w:cs="Times New Roman"/>
          <w:color w:val="auto"/>
          <w:highlight w:val="none"/>
        </w:rPr>
        <w:t>%。达到了国家和省市“三公”经费只减不增和坚持“过紧日子”思想的要求。其中：公务用车运行维护费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103.99</w:t>
      </w:r>
      <w:r>
        <w:rPr>
          <w:rFonts w:hint="default" w:ascii="Times New Roman" w:hAnsi="Times New Roman" w:cs="Times New Roman"/>
          <w:color w:val="auto"/>
          <w:highlight w:val="none"/>
        </w:rPr>
        <w:t>万元；公务接待费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0</w:t>
      </w:r>
      <w:r>
        <w:rPr>
          <w:rFonts w:hint="default" w:ascii="Times New Roman" w:hAnsi="Times New Roman" w:cs="Times New Roman"/>
          <w:color w:val="auto"/>
          <w:highlight w:val="none"/>
        </w:rPr>
        <w:t>.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99</w:t>
      </w:r>
      <w:r>
        <w:rPr>
          <w:rFonts w:hint="default" w:ascii="Times New Roman" w:hAnsi="Times New Roman" w:cs="Times New Roman"/>
          <w:color w:val="auto"/>
          <w:highlight w:val="none"/>
        </w:rPr>
        <w:t>万元。</w:t>
      </w:r>
    </w:p>
    <w:p w14:paraId="18400363">
      <w:pPr>
        <w:widowControl/>
        <w:spacing w:line="540" w:lineRule="atLeast"/>
        <w:ind w:firstLine="64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详见下表：</w:t>
      </w:r>
    </w:p>
    <w:p w14:paraId="7814F121">
      <w:pPr>
        <w:widowControl/>
        <w:spacing w:line="540" w:lineRule="atLeas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年区直部门“三公”经费决算财政拨款支出统计表</w:t>
      </w:r>
    </w:p>
    <w:tbl>
      <w:tblPr>
        <w:tblStyle w:val="6"/>
        <w:tblpPr w:leftFromText="180" w:rightFromText="180" w:vertAnchor="page" w:horzAnchor="margin" w:tblpXSpec="center" w:tblpY="8251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48"/>
        <w:gridCol w:w="1447"/>
        <w:gridCol w:w="1440"/>
        <w:gridCol w:w="937"/>
        <w:gridCol w:w="503"/>
        <w:gridCol w:w="1620"/>
      </w:tblGrid>
      <w:tr w14:paraId="7F8A29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9" w:hRule="atLeast"/>
        </w:trPr>
        <w:tc>
          <w:tcPr>
            <w:tcW w:w="2348" w:type="dxa"/>
            <w:vAlign w:val="bottom"/>
          </w:tcPr>
          <w:p w14:paraId="4C9F865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vAlign w:val="bottom"/>
          </w:tcPr>
          <w:p w14:paraId="54AF2058">
            <w:pPr>
              <w:widowControl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0A483FCD">
            <w:pPr>
              <w:widowControl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7" w:type="dxa"/>
            <w:vAlign w:val="bottom"/>
          </w:tcPr>
          <w:p w14:paraId="3A11162E">
            <w:pPr>
              <w:widowControl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vAlign w:val="bottom"/>
          </w:tcPr>
          <w:p w14:paraId="5868914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单位：万元</w:t>
            </w:r>
          </w:p>
        </w:tc>
      </w:tr>
      <w:tr w14:paraId="5A4731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4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758214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    目</w:t>
            </w:r>
          </w:p>
        </w:tc>
        <w:tc>
          <w:tcPr>
            <w:tcW w:w="1447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1C925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决算数</w:t>
            </w:r>
          </w:p>
        </w:tc>
        <w:tc>
          <w:tcPr>
            <w:tcW w:w="1440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vAlign w:val="top"/>
          </w:tcPr>
          <w:p w14:paraId="06763E2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2024决算数</w:t>
            </w:r>
          </w:p>
        </w:tc>
        <w:tc>
          <w:tcPr>
            <w:tcW w:w="3060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79948414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比202</w:t>
            </w:r>
            <w:r>
              <w:rPr>
                <w:rFonts w:hint="eastAsia"/>
                <w:lang w:val="en-US" w:eastAsia="zh-CN"/>
              </w:rPr>
              <w:t>4</w:t>
            </w:r>
          </w:p>
        </w:tc>
      </w:tr>
      <w:tr w14:paraId="3712DF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48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EB79602">
            <w:pPr>
              <w:jc w:val="center"/>
              <w:rPr>
                <w:rFonts w:hint="eastAsia"/>
              </w:rPr>
            </w:pPr>
          </w:p>
        </w:tc>
        <w:tc>
          <w:tcPr>
            <w:tcW w:w="1447" w:type="dxa"/>
            <w:tcBorders>
              <w:bottom w:val="single" w:color="000000" w:sz="12" w:space="0"/>
              <w:right w:val="single" w:color="000000" w:sz="12" w:space="0"/>
            </w:tcBorders>
          </w:tcPr>
          <w:p w14:paraId="27288157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 w14:paraId="33E16D36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2"/>
            <w:tcBorders>
              <w:bottom w:val="single" w:color="000000" w:sz="12" w:space="0"/>
              <w:right w:val="single" w:color="000000" w:sz="12" w:space="0"/>
            </w:tcBorders>
          </w:tcPr>
          <w:p w14:paraId="6456E4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增减额</w:t>
            </w:r>
          </w:p>
        </w:tc>
        <w:tc>
          <w:tcPr>
            <w:tcW w:w="1620" w:type="dxa"/>
            <w:tcBorders>
              <w:bottom w:val="single" w:color="000000" w:sz="12" w:space="0"/>
              <w:right w:val="single" w:color="000000" w:sz="12" w:space="0"/>
            </w:tcBorders>
          </w:tcPr>
          <w:p w14:paraId="7D0195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增减%</w:t>
            </w:r>
          </w:p>
        </w:tc>
      </w:tr>
      <w:tr w14:paraId="0BFD15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48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012C35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    计</w:t>
            </w:r>
          </w:p>
        </w:tc>
        <w:tc>
          <w:tcPr>
            <w:tcW w:w="1447" w:type="dxa"/>
            <w:tcBorders>
              <w:bottom w:val="single" w:color="000000" w:sz="12" w:space="0"/>
              <w:right w:val="single" w:color="000000" w:sz="12" w:space="0"/>
            </w:tcBorders>
          </w:tcPr>
          <w:p w14:paraId="38451B9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104.98</w:t>
            </w:r>
          </w:p>
        </w:tc>
        <w:tc>
          <w:tcPr>
            <w:tcW w:w="144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 w14:paraId="5E33E2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137.21</w:t>
            </w:r>
          </w:p>
        </w:tc>
        <w:tc>
          <w:tcPr>
            <w:tcW w:w="1440" w:type="dxa"/>
            <w:gridSpan w:val="2"/>
            <w:tcBorders>
              <w:bottom w:val="single" w:color="000000" w:sz="12" w:space="0"/>
              <w:right w:val="single" w:color="000000" w:sz="12" w:space="0"/>
            </w:tcBorders>
          </w:tcPr>
          <w:p w14:paraId="25FEE91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32.23</w:t>
            </w:r>
          </w:p>
        </w:tc>
        <w:tc>
          <w:tcPr>
            <w:tcW w:w="1620" w:type="dxa"/>
            <w:tcBorders>
              <w:bottom w:val="single" w:color="000000" w:sz="12" w:space="0"/>
              <w:right w:val="single" w:color="000000" w:sz="12" w:space="0"/>
            </w:tcBorders>
          </w:tcPr>
          <w:p w14:paraId="61D51268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-23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8%</w:t>
            </w:r>
          </w:p>
        </w:tc>
      </w:tr>
      <w:tr w14:paraId="6C3AF4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48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22C137A">
            <w:pPr>
              <w:rPr>
                <w:rFonts w:hint="eastAsia"/>
              </w:rPr>
            </w:pPr>
            <w:r>
              <w:rPr>
                <w:rFonts w:hint="eastAsia"/>
              </w:rPr>
              <w:t>1、因公出国（境）费</w:t>
            </w:r>
          </w:p>
        </w:tc>
        <w:tc>
          <w:tcPr>
            <w:tcW w:w="1447" w:type="dxa"/>
            <w:tcBorders>
              <w:bottom w:val="single" w:color="000000" w:sz="12" w:space="0"/>
              <w:right w:val="single" w:color="000000" w:sz="12" w:space="0"/>
            </w:tcBorders>
          </w:tcPr>
          <w:p w14:paraId="6F35D9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144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 w14:paraId="7E6ABF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1440" w:type="dxa"/>
            <w:gridSpan w:val="2"/>
            <w:tcBorders>
              <w:bottom w:val="single" w:color="000000" w:sz="12" w:space="0"/>
              <w:right w:val="single" w:color="000000" w:sz="12" w:space="0"/>
            </w:tcBorders>
          </w:tcPr>
          <w:p w14:paraId="64B575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1620" w:type="dxa"/>
            <w:tcBorders>
              <w:bottom w:val="single" w:color="000000" w:sz="12" w:space="0"/>
              <w:right w:val="single" w:color="000000" w:sz="12" w:space="0"/>
            </w:tcBorders>
          </w:tcPr>
          <w:p w14:paraId="4EBC26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——</w:t>
            </w:r>
          </w:p>
        </w:tc>
      </w:tr>
      <w:tr w14:paraId="7A07E8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48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1668A7C6">
            <w:pPr>
              <w:rPr>
                <w:rFonts w:hint="eastAsia"/>
              </w:rPr>
            </w:pPr>
            <w:r>
              <w:rPr>
                <w:rFonts w:hint="eastAsia"/>
              </w:rPr>
              <w:t>2、公务接待费</w:t>
            </w:r>
          </w:p>
        </w:tc>
        <w:tc>
          <w:tcPr>
            <w:tcW w:w="1447" w:type="dxa"/>
            <w:tcBorders>
              <w:bottom w:val="single" w:color="000000" w:sz="12" w:space="0"/>
              <w:right w:val="single" w:color="000000" w:sz="12" w:space="0"/>
            </w:tcBorders>
          </w:tcPr>
          <w:p w14:paraId="5E6486C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0.99</w:t>
            </w:r>
          </w:p>
        </w:tc>
        <w:tc>
          <w:tcPr>
            <w:tcW w:w="144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 w14:paraId="180C5F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7.53</w:t>
            </w:r>
          </w:p>
        </w:tc>
        <w:tc>
          <w:tcPr>
            <w:tcW w:w="1440" w:type="dxa"/>
            <w:gridSpan w:val="2"/>
            <w:tcBorders>
              <w:bottom w:val="single" w:color="000000" w:sz="12" w:space="0"/>
              <w:right w:val="single" w:color="000000" w:sz="12" w:space="0"/>
            </w:tcBorders>
          </w:tcPr>
          <w:p w14:paraId="01039C8F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1620" w:type="dxa"/>
            <w:tcBorders>
              <w:bottom w:val="single" w:color="000000" w:sz="12" w:space="0"/>
              <w:right w:val="single" w:color="000000" w:sz="12" w:space="0"/>
            </w:tcBorders>
          </w:tcPr>
          <w:p w14:paraId="4E0DD194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-86.85</w:t>
            </w:r>
            <w:r>
              <w:rPr>
                <w:rFonts w:hint="eastAsia"/>
              </w:rPr>
              <w:t>%</w:t>
            </w:r>
          </w:p>
        </w:tc>
      </w:tr>
      <w:tr w14:paraId="0FDA94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48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3CD40882">
            <w:pPr>
              <w:rPr>
                <w:rFonts w:hint="eastAsia"/>
              </w:rPr>
            </w:pPr>
            <w:r>
              <w:rPr>
                <w:rFonts w:hint="eastAsia"/>
              </w:rPr>
              <w:t>3、公务用车购置及运行费</w:t>
            </w:r>
          </w:p>
        </w:tc>
        <w:tc>
          <w:tcPr>
            <w:tcW w:w="1447" w:type="dxa"/>
            <w:tcBorders>
              <w:bottom w:val="single" w:color="000000" w:sz="12" w:space="0"/>
              <w:right w:val="single" w:color="000000" w:sz="12" w:space="0"/>
            </w:tcBorders>
          </w:tcPr>
          <w:p w14:paraId="21C14F7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103.99</w:t>
            </w:r>
          </w:p>
        </w:tc>
        <w:tc>
          <w:tcPr>
            <w:tcW w:w="144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 w14:paraId="3241F48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129.68</w:t>
            </w:r>
          </w:p>
        </w:tc>
        <w:tc>
          <w:tcPr>
            <w:tcW w:w="1440" w:type="dxa"/>
            <w:gridSpan w:val="2"/>
            <w:tcBorders>
              <w:bottom w:val="single" w:color="000000" w:sz="12" w:space="0"/>
              <w:right w:val="single" w:color="000000" w:sz="12" w:space="0"/>
            </w:tcBorders>
          </w:tcPr>
          <w:p w14:paraId="256050BE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5.</w:t>
            </w:r>
            <w:r>
              <w:rPr>
                <w:rFonts w:hint="eastAsia"/>
                <w:lang w:val="en-US" w:eastAsia="zh-CN"/>
              </w:rPr>
              <w:t>69</w:t>
            </w:r>
          </w:p>
        </w:tc>
        <w:tc>
          <w:tcPr>
            <w:tcW w:w="1620" w:type="dxa"/>
            <w:tcBorders>
              <w:bottom w:val="single" w:color="000000" w:sz="12" w:space="0"/>
              <w:right w:val="single" w:color="000000" w:sz="12" w:space="0"/>
            </w:tcBorders>
          </w:tcPr>
          <w:p w14:paraId="6491426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-19</w:t>
            </w:r>
            <w:r>
              <w:rPr>
                <w:rFonts w:hint="eastAsia"/>
              </w:rPr>
              <w:t>.8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%</w:t>
            </w:r>
          </w:p>
        </w:tc>
      </w:tr>
      <w:tr w14:paraId="4AE22E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48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5D09AC93">
            <w:pPr>
              <w:rPr>
                <w:rFonts w:hint="eastAsia"/>
              </w:rPr>
            </w:pPr>
            <w:r>
              <w:rPr>
                <w:rFonts w:hint="eastAsia"/>
              </w:rPr>
              <w:t>其中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：</w:t>
            </w:r>
            <w:r>
              <w:rPr>
                <w:rFonts w:hint="eastAsia"/>
              </w:rPr>
              <w:t>（1）公务用车运行维护费</w:t>
            </w:r>
          </w:p>
        </w:tc>
        <w:tc>
          <w:tcPr>
            <w:tcW w:w="1447" w:type="dxa"/>
            <w:tcBorders>
              <w:bottom w:val="single" w:color="000000" w:sz="12" w:space="0"/>
              <w:right w:val="single" w:color="000000" w:sz="12" w:space="0"/>
            </w:tcBorders>
          </w:tcPr>
          <w:p w14:paraId="295E17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103.39</w:t>
            </w:r>
          </w:p>
        </w:tc>
        <w:tc>
          <w:tcPr>
            <w:tcW w:w="144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 w14:paraId="12D492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103.39</w:t>
            </w:r>
          </w:p>
        </w:tc>
        <w:tc>
          <w:tcPr>
            <w:tcW w:w="1440" w:type="dxa"/>
            <w:gridSpan w:val="2"/>
            <w:tcBorders>
              <w:bottom w:val="single" w:color="000000" w:sz="12" w:space="0"/>
              <w:right w:val="single" w:color="000000" w:sz="12" w:space="0"/>
            </w:tcBorders>
          </w:tcPr>
          <w:p w14:paraId="38E757E4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620" w:type="dxa"/>
            <w:tcBorders>
              <w:bottom w:val="single" w:color="000000" w:sz="12" w:space="0"/>
              <w:right w:val="single" w:color="000000" w:sz="12" w:space="0"/>
            </w:tcBorders>
          </w:tcPr>
          <w:p w14:paraId="6CD991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——</w:t>
            </w:r>
          </w:p>
        </w:tc>
      </w:tr>
      <w:tr w14:paraId="314FF3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48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369E99C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（2）公务用车购置</w:t>
            </w:r>
          </w:p>
        </w:tc>
        <w:tc>
          <w:tcPr>
            <w:tcW w:w="1447" w:type="dxa"/>
            <w:tcBorders>
              <w:bottom w:val="single" w:color="000000" w:sz="12" w:space="0"/>
              <w:right w:val="single" w:color="000000" w:sz="12" w:space="0"/>
            </w:tcBorders>
          </w:tcPr>
          <w:p w14:paraId="40340317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44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 w14:paraId="60BBF6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26.29</w:t>
            </w:r>
          </w:p>
        </w:tc>
        <w:tc>
          <w:tcPr>
            <w:tcW w:w="1440" w:type="dxa"/>
            <w:gridSpan w:val="2"/>
            <w:tcBorders>
              <w:bottom w:val="single" w:color="000000" w:sz="12" w:space="0"/>
              <w:right w:val="single" w:color="000000" w:sz="12" w:space="0"/>
            </w:tcBorders>
          </w:tcPr>
          <w:p w14:paraId="0946A6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26.29</w:t>
            </w:r>
          </w:p>
        </w:tc>
        <w:tc>
          <w:tcPr>
            <w:tcW w:w="1620" w:type="dxa"/>
            <w:tcBorders>
              <w:bottom w:val="single" w:color="000000" w:sz="12" w:space="0"/>
              <w:right w:val="single" w:color="000000" w:sz="12" w:space="0"/>
            </w:tcBorders>
          </w:tcPr>
          <w:p w14:paraId="315BFF89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-100%</w:t>
            </w:r>
          </w:p>
        </w:tc>
      </w:tr>
    </w:tbl>
    <w:p w14:paraId="22398C1C">
      <w:pPr>
        <w:widowControl/>
        <w:spacing w:line="540" w:lineRule="atLeast"/>
        <w:ind w:firstLine="640" w:firstLineChars="200"/>
        <w:jc w:val="left"/>
        <w:rPr>
          <w:rFonts w:ascii="宋体" w:hAnsi="宋体" w:cs="宋体"/>
          <w:color w:val="353535"/>
          <w:kern w:val="0"/>
          <w:sz w:val="32"/>
          <w:szCs w:val="32"/>
        </w:rPr>
      </w:pPr>
      <w:bookmarkStart w:id="0" w:name="_GoBack"/>
      <w:bookmarkEnd w:id="0"/>
    </w:p>
    <w:sectPr>
      <w:pgSz w:w="11906" w:h="16838"/>
      <w:pgMar w:top="1134" w:right="1644" w:bottom="567" w:left="125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7A9B"/>
    <w:rsid w:val="000B2F62"/>
    <w:rsid w:val="00117E15"/>
    <w:rsid w:val="00172A27"/>
    <w:rsid w:val="00353846"/>
    <w:rsid w:val="003A2303"/>
    <w:rsid w:val="0042393C"/>
    <w:rsid w:val="00450179"/>
    <w:rsid w:val="00582958"/>
    <w:rsid w:val="00582D63"/>
    <w:rsid w:val="005A7943"/>
    <w:rsid w:val="005E69FB"/>
    <w:rsid w:val="0066165D"/>
    <w:rsid w:val="00680FD9"/>
    <w:rsid w:val="00693DC9"/>
    <w:rsid w:val="0071598E"/>
    <w:rsid w:val="007738A6"/>
    <w:rsid w:val="008C21DE"/>
    <w:rsid w:val="00974E01"/>
    <w:rsid w:val="009B2B43"/>
    <w:rsid w:val="00D33559"/>
    <w:rsid w:val="00DB5260"/>
    <w:rsid w:val="00DC7C33"/>
    <w:rsid w:val="00E860B0"/>
    <w:rsid w:val="00F025A1"/>
    <w:rsid w:val="00F25050"/>
    <w:rsid w:val="00F71267"/>
    <w:rsid w:val="00F72D92"/>
    <w:rsid w:val="00F84EE2"/>
    <w:rsid w:val="4AF65F65"/>
    <w:rsid w:val="5A35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tabs>
        <w:tab w:val="left" w:pos="5040"/>
      </w:tabs>
      <w:ind w:firstLine="630"/>
    </w:pPr>
    <w:rPr>
      <w:rFonts w:eastAsia="仿宋_GB2312"/>
      <w:sz w:val="32"/>
      <w:szCs w:val="20"/>
    </w:r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font81"/>
    <w:basedOn w:val="7"/>
    <w:qFormat/>
    <w:uiPriority w:val="0"/>
    <w:rPr>
      <w:rFonts w:hint="eastAsia" w:ascii="宋体" w:hAnsi="宋体" w:eastAsia="宋体"/>
      <w:b/>
      <w:bCs/>
      <w:color w:val="000000"/>
      <w:sz w:val="21"/>
      <w:szCs w:val="21"/>
      <w:u w:val="none"/>
    </w:rPr>
  </w:style>
  <w:style w:type="character" w:customStyle="1" w:styleId="9">
    <w:name w:val="font51"/>
    <w:basedOn w:val="7"/>
    <w:uiPriority w:val="0"/>
    <w:rPr>
      <w:rFonts w:hint="eastAsia" w:ascii="宋体" w:hAnsi="宋体" w:eastAsia="宋体"/>
      <w:color w:val="000000"/>
      <w:sz w:val="21"/>
      <w:szCs w:val="21"/>
      <w:u w:val="none"/>
    </w:rPr>
  </w:style>
  <w:style w:type="character" w:customStyle="1" w:styleId="10">
    <w:name w:val="font7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1"/>
      <w:szCs w:val="21"/>
      <w:u w:val="none"/>
    </w:rPr>
  </w:style>
  <w:style w:type="character" w:customStyle="1" w:styleId="11">
    <w:name w:val="font6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2">
    <w:name w:val="font21"/>
    <w:basedOn w:val="7"/>
    <w:qFormat/>
    <w:uiPriority w:val="0"/>
    <w:rPr>
      <w:rFonts w:hint="eastAsia" w:ascii="宋体" w:hAnsi="宋体" w:eastAsia="宋体"/>
      <w:color w:val="000000"/>
      <w:sz w:val="21"/>
      <w:szCs w:val="21"/>
      <w:u w:val="none"/>
    </w:rPr>
  </w:style>
  <w:style w:type="character" w:customStyle="1" w:styleId="13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4">
    <w:name w:val="批注框文本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265</Words>
  <Characters>389</Characters>
  <Lines>3</Lines>
  <Paragraphs>1</Paragraphs>
  <TotalTime>0</TotalTime>
  <ScaleCrop>false</ScaleCrop>
  <LinksUpToDate>false</LinksUpToDate>
  <CharactersWithSpaces>404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2019-02-20T06:37:00Z</dcterms:created>
  <dc:creator>微软用户</dc:creator>
  <cp:lastModifiedBy>Administrator</cp:lastModifiedBy>
  <cp:lastPrinted>2019-02-20T07:14:00Z</cp:lastPrinted>
  <dcterms:modified xsi:type="dcterms:W3CDTF">2026-09-03T01:14:50Z</dcterms:modified>
  <dc:title>2016年本溪市本级“三公”经费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eyJoZGlkIjoiM2VkOGRhZTVmMWU0OGYwMDBhMWY5YTA1ZTZiMDBlZWYifQ==</vt:lpwstr>
  </property>
  <property fmtid="{D5CDD505-2E9C-101B-9397-08002B2CF9AE}" pid="4" name="ICV">
    <vt:lpwstr>60EEAED36D3345A4A0383FC13308A1FC_12</vt:lpwstr>
  </property>
</Properties>
</file>