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6307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right="0"/>
        <w:jc w:val="center"/>
      </w:pPr>
      <w:r>
        <w:rPr>
          <w:bdr w:val="none" w:color="auto" w:sz="0" w:space="0"/>
          <w:shd w:val="clear" w:fill="FFFFFF"/>
        </w:rPr>
        <w:t> </w:t>
      </w:r>
    </w:p>
    <w:p w14:paraId="44C63073">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5E1B11B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7E918DE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18DC35D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45A49FDD">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rFonts w:hint="eastAsia" w:ascii="宋体" w:hAnsi="宋体" w:eastAsia="宋体" w:cs="宋体"/>
          <w:b/>
          <w:bCs/>
          <w:color w:val="000000"/>
          <w:sz w:val="53"/>
          <w:szCs w:val="53"/>
          <w:shd w:val="clear" w:fill="FFFFFF"/>
        </w:rPr>
        <w:t>本溪市溪湖区财政局2023年部门预算</w:t>
      </w:r>
    </w:p>
    <w:p w14:paraId="313E132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25271946">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7BDEED6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5CD9D78A">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6ED8371A">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0486FE5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42F2889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25F0970A">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73999C9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1D54660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358DCAF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26D5A51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61169BDA">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rFonts w:hint="eastAsia" w:ascii="宋体" w:hAnsi="宋体" w:eastAsia="宋体" w:cs="宋体"/>
          <w:b/>
          <w:bCs/>
          <w:color w:val="000000"/>
          <w:sz w:val="44"/>
          <w:szCs w:val="44"/>
          <w:shd w:val="clear" w:fill="FFFFFF"/>
        </w:rPr>
        <w:t>本溪市溪湖区本溪市溪湖区财政局</w:t>
      </w:r>
    </w:p>
    <w:p w14:paraId="09FA3F7A">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rFonts w:hint="eastAsia" w:ascii="宋体" w:hAnsi="宋体" w:eastAsia="宋体" w:cs="宋体"/>
          <w:b/>
          <w:bCs/>
          <w:color w:val="000000"/>
          <w:sz w:val="44"/>
          <w:szCs w:val="44"/>
          <w:shd w:val="clear" w:fill="FFFFFF"/>
        </w:rPr>
        <w:t>目录</w:t>
      </w:r>
    </w:p>
    <w:p w14:paraId="03C7224D">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ascii="黑体" w:hAnsi="宋体" w:eastAsia="黑体" w:cs="黑体"/>
          <w:color w:val="000000"/>
          <w:sz w:val="32"/>
          <w:szCs w:val="32"/>
          <w:shd w:val="clear" w:fill="FFFFFF"/>
        </w:rPr>
        <w:t>第一部分 部门预算公开管理文件</w:t>
      </w:r>
    </w:p>
    <w:p w14:paraId="6D550E1D">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eastAsia" w:ascii="黑体" w:hAnsi="宋体" w:eastAsia="黑体" w:cs="黑体"/>
          <w:color w:val="000000"/>
          <w:sz w:val="32"/>
          <w:szCs w:val="32"/>
          <w:shd w:val="clear" w:fill="FFFFFF"/>
        </w:rPr>
        <w:t>第二部分 本溪市溪湖区财政局概况</w:t>
      </w:r>
    </w:p>
    <w:p w14:paraId="236F19D8">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ascii="仿宋_GB2312" w:eastAsia="仿宋_GB2312" w:cs="仿宋_GB2312"/>
          <w:color w:val="000000"/>
          <w:sz w:val="32"/>
          <w:szCs w:val="32"/>
          <w:shd w:val="clear" w:fill="FFFFFF"/>
        </w:rPr>
        <w:t>一、主要职责</w:t>
      </w:r>
    </w:p>
    <w:p w14:paraId="4C4D127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二、机构设置</w:t>
      </w:r>
    </w:p>
    <w:p w14:paraId="6E71BC2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eastAsia" w:ascii="黑体" w:hAnsi="宋体" w:eastAsia="黑体" w:cs="黑体"/>
          <w:color w:val="000000"/>
          <w:sz w:val="32"/>
          <w:szCs w:val="32"/>
          <w:shd w:val="clear" w:fill="FFFFFF"/>
        </w:rPr>
        <w:t>第三部分 本溪市溪湖区财政局2023年部门预算情况说明</w:t>
      </w:r>
    </w:p>
    <w:p w14:paraId="6C7DBA7D">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eastAsia" w:ascii="黑体" w:hAnsi="宋体" w:eastAsia="黑体" w:cs="黑体"/>
          <w:color w:val="000000"/>
          <w:sz w:val="32"/>
          <w:szCs w:val="32"/>
          <w:shd w:val="clear" w:fill="FFFFFF"/>
        </w:rPr>
        <w:t>第四部分 名词解释</w:t>
      </w:r>
    </w:p>
    <w:p w14:paraId="09819C7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eastAsia" w:ascii="黑体" w:hAnsi="宋体" w:eastAsia="黑体" w:cs="黑体"/>
          <w:color w:val="000000"/>
          <w:sz w:val="32"/>
          <w:szCs w:val="32"/>
          <w:shd w:val="clear" w:fill="FFFFFF"/>
        </w:rPr>
        <w:t>第五部分 2023年本溪市溪湖区部门预算批复公开表</w:t>
      </w:r>
    </w:p>
    <w:p w14:paraId="7AE76858">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一、财政拨款收支预算总表</w:t>
      </w:r>
    </w:p>
    <w:p w14:paraId="7EE204D6">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二、一般公共预算支出表</w:t>
      </w:r>
    </w:p>
    <w:p w14:paraId="2560B327">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三、一般公共预算基本支出表</w:t>
      </w:r>
    </w:p>
    <w:p w14:paraId="3D1A6093">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四、一般公共预算“三公”经费支出表</w:t>
      </w:r>
    </w:p>
    <w:p w14:paraId="186BDB66">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五、政府性基金预算支出表</w:t>
      </w:r>
    </w:p>
    <w:p w14:paraId="5558156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六、部门收支预算总表</w:t>
      </w:r>
    </w:p>
    <w:p w14:paraId="4CA468FE">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七、部门收入预算总表</w:t>
      </w:r>
    </w:p>
    <w:p w14:paraId="1F5A916F">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八、部门支出预算总表（一）</w:t>
      </w:r>
    </w:p>
    <w:p w14:paraId="3209A1CA">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九、部门支出预算总表（二）</w:t>
      </w:r>
    </w:p>
    <w:p w14:paraId="6F11B655">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十、项目支出明细表</w:t>
      </w:r>
    </w:p>
    <w:p w14:paraId="57E70629">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十一、政府采购计划表</w:t>
      </w:r>
    </w:p>
    <w:p w14:paraId="5E63581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十二、三公经费汇总表</w:t>
      </w:r>
    </w:p>
    <w:p w14:paraId="7F7128E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十三、项目绩效目标情况表</w:t>
      </w:r>
    </w:p>
    <w:p w14:paraId="3EC6AB2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十四、政府预算经济分类支出预算表</w:t>
      </w:r>
    </w:p>
    <w:p w14:paraId="3B17C408">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pPr>
      <w:r>
        <w:rPr>
          <w:rFonts w:hint="default" w:ascii="仿宋_GB2312" w:eastAsia="仿宋_GB2312" w:cs="仿宋_GB2312"/>
          <w:color w:val="000000"/>
          <w:sz w:val="32"/>
          <w:szCs w:val="32"/>
          <w:shd w:val="clear" w:fill="FFFFFF"/>
        </w:rPr>
        <w:t>十五、部门整体绩效目标情况表</w:t>
      </w:r>
    </w:p>
    <w:p w14:paraId="388DB14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rFonts w:hint="eastAsia" w:ascii="宋体" w:hAnsi="宋体" w:eastAsia="宋体" w:cs="宋体"/>
          <w:b/>
          <w:bCs/>
          <w:color w:val="000000"/>
          <w:sz w:val="36"/>
          <w:szCs w:val="36"/>
          <w:shd w:val="clear" w:fill="FFFFFF"/>
        </w:rPr>
        <w:t>第一部分 部门预算公开管理文件</w:t>
      </w:r>
    </w:p>
    <w:p w14:paraId="13A24D5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bdr w:val="none" w:color="auto" w:sz="0" w:space="0"/>
          <w:shd w:val="clear" w:fill="FFFFFF"/>
        </w:rPr>
        <w:t> </w:t>
      </w:r>
    </w:p>
    <w:p w14:paraId="4617A11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《关于印发&lt;本溪市财政局部门预决算信息公开管理办法（试行）&gt;的通知》(本财发〔2020〕36号)、本溪市财政局部门预决算信息公开管理办法（试行）</w:t>
      </w:r>
    </w:p>
    <w:p w14:paraId="7AEE4A0C">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第一条为推进和规范预决算信息公开工作，强化社会监督，促进依法理财，建立透明预算制度，根据《中华人民共和国预算法》和《中华人民共和国政府信息公开条例》等有关规定，结合我局实际，制定本办法。</w:t>
      </w:r>
    </w:p>
    <w:p w14:paraId="4FF0387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第二条本办法适用于本溪市溪湖区财政局部门预决算信息公开管理。</w:t>
      </w:r>
    </w:p>
    <w:p w14:paraId="5442A4D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第三条本办法所称部门预决算信息包括预算收支安排、预算执行、决算数据等。</w:t>
      </w:r>
    </w:p>
    <w:p w14:paraId="38687A15">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第四条预决算信息公开的原则：以公开为常态，不公开为例外，依法依规公开预决算。除涉及国家秘密外，不得少公开、不公开应当公开的事项，确保预决算信息公开及时、准确和完整。</w:t>
      </w:r>
    </w:p>
    <w:p w14:paraId="2FB2BE41">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第五条财务核算部负责我局部门预决算信息公开工作，履行下列职责：</w:t>
      </w:r>
    </w:p>
    <w:p w14:paraId="53AA838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（一）制定我局部门预决算信息公开的工作方案；</w:t>
      </w:r>
    </w:p>
    <w:p w14:paraId="44A9B8AF">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（二）按规定公开我局部门预决算信息；</w:t>
      </w:r>
    </w:p>
    <w:p w14:paraId="2C7C04C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（三）按规定做好公民、法人或者其他组织依申请公开部门预决算信息的答复工作。</w:t>
      </w:r>
    </w:p>
    <w:p w14:paraId="1CBEDCED">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第六条部门预决算信息公开内容包括：</w:t>
      </w:r>
    </w:p>
    <w:p w14:paraId="0B3F5238">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（一）部门文件。部门预决算信息公开管理办法。</w:t>
      </w:r>
    </w:p>
    <w:p w14:paraId="5087A0C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（二）部门概况。包括部门职责、机构设置、实有人员等情况。</w:t>
      </w:r>
    </w:p>
    <w:p w14:paraId="33D5C14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（三）预决算收支情况表。包括部门收支总体情况、财政拨款安排使用情况、“三公”经费财政拨款安排使用情况等。</w:t>
      </w:r>
    </w:p>
    <w:p w14:paraId="0F0D3DC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（四）情况说明。包括预决算年度收支、机关运行经费、政府采购、“三公”经费、国有资产占有使用和项目支出绩效目标等情况说明。</w:t>
      </w:r>
    </w:p>
    <w:p w14:paraId="03ED2B53">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（五）名词解释。对预决算相关专业名词进行解释说明。</w:t>
      </w:r>
    </w:p>
    <w:p w14:paraId="15305BC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第七条部门预决算信息在我局门户网站“财政预决算”专栏公开，并保持长期公开状态，便于社会公众查询监督。</w:t>
      </w:r>
    </w:p>
    <w:p w14:paraId="23DA2AF4">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第八条经市财政局批复的部门预决算及报表，应当在批复后20日内公开。</w:t>
      </w:r>
    </w:p>
    <w:p w14:paraId="36C4F0B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第九条本办法自印发之日起实行。</w:t>
      </w:r>
    </w:p>
    <w:p w14:paraId="7D75374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3C19EE4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5751D4C4">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2CD4C38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3DC4D2C3">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rFonts w:hint="eastAsia" w:ascii="宋体" w:hAnsi="宋体" w:eastAsia="宋体" w:cs="宋体"/>
          <w:b/>
          <w:bCs/>
          <w:color w:val="000000"/>
          <w:sz w:val="36"/>
          <w:szCs w:val="36"/>
          <w:shd w:val="clear" w:fill="FFFFFF"/>
        </w:rPr>
        <w:t>第二部分 本溪市溪湖区财政局概况</w:t>
      </w:r>
    </w:p>
    <w:p w14:paraId="1EC8EF8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bdr w:val="none" w:color="auto" w:sz="0" w:space="0"/>
          <w:shd w:val="clear" w:fill="FFFFFF"/>
        </w:rPr>
        <w:t> </w:t>
      </w:r>
    </w:p>
    <w:p w14:paraId="572CB8B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eastAsia" w:ascii="黑体" w:hAnsi="宋体" w:eastAsia="黑体" w:cs="黑体"/>
          <w:color w:val="000000"/>
          <w:sz w:val="32"/>
          <w:szCs w:val="32"/>
          <w:shd w:val="clear" w:fill="FFFFFF"/>
        </w:rPr>
        <w:t>一、部门职责</w:t>
      </w:r>
    </w:p>
    <w:p w14:paraId="31B77871">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一)贯彻执行国家财税方针政策，拟定区财税规划、政策和改革方案并组织实施，分析预测经济形势，参与制定各项宏观经济政策，提出运用财税政策实施宏观调控和综合平衡社会财力的建议，拟定区与街道及企业的分配政策，完善鼓励公益事业发展的财税政策。</w:t>
      </w:r>
    </w:p>
    <w:p w14:paraId="5F8F5078">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(二)研究我区经济社会中的财税重大问题，围绕区委区政府中心工作提出改进和完善政府管理、提高财政资金使用效益的建议。</w:t>
      </w:r>
    </w:p>
    <w:p w14:paraId="2279475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(三)统筹管理区级一般公共预算、政府性基金预算、国有资本经营预算、社会保险基金预算，负责编制区级一般公共预算、政府性基金预算。</w:t>
      </w:r>
    </w:p>
    <w:p w14:paraId="1AE5F30F">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四)承担区级各项财政收支管理的责任，负责编制年度区级预算草案并组织执行，受区政府委托，向区人民代表大会报告区级年度财政预算及其执行情况，向区人大常委会报告财政决算和财政预算执行情况，组织制定经费开支标准、定额，负责审核批复部门(单位)的年度预决算，执行转移支付制度。</w:t>
      </w:r>
    </w:p>
    <w:p w14:paraId="59EAB2E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(五)</w:t>
      </w:r>
      <w:r>
        <w:rPr>
          <w:rFonts w:hint="eastAsia" w:ascii="仿宋_GB2312" w:eastAsia="仿宋_GB2312" w:cs="仿宋_GB2312"/>
          <w:color w:val="000000"/>
          <w:sz w:val="32"/>
          <w:szCs w:val="32"/>
          <w:shd w:val="clear" w:fill="FFFFFF"/>
          <w:lang w:eastAsia="zh-CN"/>
        </w:rPr>
        <w:t>贯彻执行</w:t>
      </w:r>
      <w:r>
        <w:rPr>
          <w:rFonts w:hint="default" w:ascii="仿宋_GB2312" w:eastAsia="仿宋_GB2312" w:cs="仿宋_GB2312"/>
          <w:color w:val="000000"/>
          <w:sz w:val="32"/>
          <w:szCs w:val="32"/>
          <w:shd w:val="clear" w:fill="FFFFFF"/>
        </w:rPr>
        <w:t>国家形收法律，行政法规及有关政策，研究制定区管理权限内有关税收改靠及种文策调整方案并组织实施，负责政将非税收入管理，按规定管理行政事业性收费、政府性基金及其他非税收入，管理财政票据。</w:t>
      </w:r>
    </w:p>
    <w:p w14:paraId="281129F7">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(六)组织制定区级财政国库管理和国库集中收付制度，指导和监督全区财政国库业务，按规定管理国库现金。</w:t>
      </w:r>
    </w:p>
    <w:p w14:paraId="7E16A19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(七)负责制定政府采购制度，监督管理政府采购活动，组织制定政府向社会力量购买服务制度，监督政府向社会力量购买服务活动。</w:t>
      </w:r>
    </w:p>
    <w:p w14:paraId="1C688958">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八)负责制定区级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建立和完善安全生产资金保障制度，保障我区安全生产工作。</w:t>
      </w:r>
    </w:p>
    <w:p w14:paraId="34E491E8">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(九)负责办理和监督区财政的经济发展支出、中央和省、市、区政府性投资项目的财政</w:t>
      </w:r>
      <w:bookmarkStart w:id="0" w:name="_GoBack"/>
      <w:r>
        <w:rPr>
          <w:rFonts w:hint="default" w:ascii="仿宋_GB2312" w:eastAsia="仿宋_GB2312" w:cs="仿宋_GB2312"/>
          <w:color w:val="000000"/>
          <w:sz w:val="32"/>
          <w:szCs w:val="32"/>
          <w:shd w:val="clear" w:fill="FFFFFF"/>
        </w:rPr>
        <w:t>拨款，负责政府性投资基本建设财政财务管理，负责有关政策性补贴和专项储备资金财政管理工作，组织审查财政性投资工程预(结)算、竣工决算，承担国家赔偿费用管理工作，负责农业综合开发资金管理工作，负责全区农村综合改革工作。</w:t>
      </w:r>
    </w:p>
    <w:p w14:paraId="6FA1CB58">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(十)执行全区社会保障资金(基金)的财务管理制度，负责审核区级社会保险基金预决算草案，会同有关部门管理区财政社会保障和就业及医疗卫生与健康支出。</w:t>
      </w:r>
    </w:p>
    <w:p w14:paraId="631A072D">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十一)贯彻执行国家、省政府、市政府及与政府相关的债务管理政策、制度，拟订全区政府及与政府相关的债务管理制度、办法并组织实施，监督管理全区政府性债务及与政府相关的债务，按规定管理国际金融组织和外国政府贷(赠)款，参与涉外债务谈判。</w:t>
      </w:r>
    </w:p>
    <w:p w14:paraId="6BDD2EC7">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(十二)代区政府履行区属国有金融资本出资人职责，负责区属国有金融企业相关管理工作，组织落实财政金融相关政策等。负责农业保险保费补贴资金管理相关工作。</w:t>
      </w:r>
    </w:p>
    <w:p w14:paraId="52A88D8F">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(十三)制定区级会计管理制度并组织实施，监督和规范会计行为。</w:t>
      </w:r>
    </w:p>
    <w:p w14:paraId="328A6A9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(十四)监督财税法规、政策的执行情况，反映财政、财务管理中的重大问题，提出加强财政管理的政策建议。加强财政内部控制体系建设，承担会计信息质量检查，依法查处违法违规行为。</w:t>
      </w:r>
    </w:p>
    <w:p w14:paraId="3A5B626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(十五)全面实施预算绩效管理，将政府收支预算、部门和单位预算、政策和项目全面纳入绩效管理，构建全方位、全过程、全覆盖的预算绩效管理体系，实现预算和绩效管理一体化。</w:t>
      </w:r>
    </w:p>
    <w:p w14:paraId="26351858">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(十六)完成区委、区政府交办的其他任务。</w:t>
      </w:r>
    </w:p>
    <w:p w14:paraId="1B44D58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第四条溪湖区财政局不设内设机构。</w:t>
      </w:r>
    </w:p>
    <w:p w14:paraId="7590AC1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第五条溪湖区财政局行政编制8名；设局长1名（正科级)，长。 副局长3名（副科级），其中1名兼任区政府国有资产监督管理局局机关工勤人员编制2名。</w:t>
      </w:r>
    </w:p>
    <w:p w14:paraId="5155957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第六条 本规定由中共溪湖区委机构编制委员会办公室负责解释，其调整由中共溪湖区委机构编制委员会办公室按规定程序办理。</w:t>
      </w:r>
    </w:p>
    <w:p w14:paraId="66CDFBAD">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480" w:lineRule="atLeast"/>
        <w:ind w:left="0" w:firstLine="645"/>
      </w:pPr>
      <w:r>
        <w:rPr>
          <w:rFonts w:hint="default" w:ascii="仿宋_GB2312" w:eastAsia="仿宋_GB2312" w:cs="仿宋_GB2312"/>
          <w:color w:val="000000"/>
          <w:sz w:val="32"/>
          <w:szCs w:val="32"/>
          <w:shd w:val="clear" w:fill="FFFFFF"/>
        </w:rPr>
        <w:t>第七条 规定自2019年2月18日起实施。</w:t>
      </w:r>
    </w:p>
    <w:p w14:paraId="653E35A7">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bdr w:val="none" w:color="auto" w:sz="0" w:space="0"/>
          <w:shd w:val="clear" w:fill="FFFFFF"/>
        </w:rPr>
        <w:t> </w:t>
      </w:r>
    </w:p>
    <w:p w14:paraId="3714028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eastAsia" w:ascii="黑体" w:hAnsi="宋体" w:eastAsia="黑体" w:cs="黑体"/>
          <w:color w:val="000000"/>
          <w:sz w:val="32"/>
          <w:szCs w:val="32"/>
          <w:shd w:val="clear" w:fill="FFFFFF"/>
        </w:rPr>
        <w:t>二、机构设置</w:t>
      </w:r>
    </w:p>
    <w:p w14:paraId="6D7E081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纳入本溪市溪湖区财政局2023年部门预算编制范围的二级预算单位包括：</w:t>
      </w:r>
    </w:p>
    <w:p w14:paraId="5B1D9CE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pPr>
      <w:r>
        <w:rPr>
          <w:rFonts w:hint="default" w:ascii="仿宋_GB2312" w:eastAsia="仿宋_GB2312" w:cs="仿宋_GB2312"/>
          <w:color w:val="000000"/>
          <w:sz w:val="32"/>
          <w:szCs w:val="32"/>
          <w:shd w:val="clear" w:fill="FFFFFF"/>
        </w:rPr>
        <w:t>（一） 本溪市溪湖区财政局本级</w:t>
      </w:r>
    </w:p>
    <w:p w14:paraId="45E6569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bdr w:val="none" w:color="auto" w:sz="0" w:space="0"/>
          <w:shd w:val="clear" w:fill="FFFFFF"/>
        </w:rPr>
        <w:t> </w:t>
      </w:r>
    </w:p>
    <w:p w14:paraId="6D34A7C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0361AEF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07C7F70D">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03EB0023">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46AEAA13">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2556100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4CA31274">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2964274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16DB232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75CD2CF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0B2875E4">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07D7768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037B186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bdr w:val="none" w:color="auto" w:sz="0" w:space="0"/>
          <w:shd w:val="clear" w:fill="FFFFFF"/>
        </w:rPr>
        <w:t> </w:t>
      </w:r>
    </w:p>
    <w:p w14:paraId="159309BD">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rFonts w:hint="eastAsia" w:ascii="宋体" w:hAnsi="宋体" w:eastAsia="宋体" w:cs="宋体"/>
          <w:b/>
          <w:bCs/>
          <w:color w:val="000000"/>
          <w:sz w:val="36"/>
          <w:szCs w:val="36"/>
          <w:shd w:val="clear" w:fill="FFFFFF"/>
        </w:rPr>
        <w:t>第三部分本溪市溪湖区财政局2023年部门预算情况说明</w:t>
      </w:r>
    </w:p>
    <w:p w14:paraId="00CD770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pPr>
      <w:r>
        <w:rPr>
          <w:bdr w:val="none" w:color="auto" w:sz="0" w:space="0"/>
          <w:shd w:val="clear" w:fill="FFFFFF"/>
        </w:rPr>
        <w:t> </w:t>
      </w:r>
    </w:p>
    <w:p w14:paraId="7CF47BC8">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30"/>
      </w:pPr>
      <w:r>
        <w:rPr>
          <w:rFonts w:hint="eastAsia" w:ascii="黑体" w:hAnsi="宋体" w:eastAsia="黑体" w:cs="黑体"/>
          <w:color w:val="000000"/>
          <w:sz w:val="32"/>
          <w:szCs w:val="32"/>
          <w:shd w:val="clear" w:fill="FFFFFF"/>
        </w:rPr>
        <w:t>一、收支预算的总体情况</w:t>
      </w:r>
    </w:p>
    <w:p w14:paraId="6E7EF601">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default" w:ascii="仿宋_GB2312" w:eastAsia="仿宋_GB2312" w:cs="仿宋_GB2312"/>
          <w:color w:val="000000"/>
          <w:sz w:val="32"/>
          <w:szCs w:val="32"/>
          <w:shd w:val="clear" w:fill="FFFFFF"/>
        </w:rPr>
        <w:t>按照综合预算的原则，本溪市溪湖区财政局所有收入和支出均纳入部门预算管理。其中：</w:t>
      </w:r>
    </w:p>
    <w:p w14:paraId="49DEBEA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default" w:ascii="仿宋_GB2312" w:eastAsia="仿宋_GB2312" w:cs="仿宋_GB2312"/>
          <w:b/>
          <w:bCs/>
          <w:color w:val="000000"/>
          <w:sz w:val="32"/>
          <w:szCs w:val="32"/>
          <w:shd w:val="clear" w:fill="FFFFFF"/>
        </w:rPr>
        <w:t>（一）收入预算213.24万元，</w:t>
      </w:r>
      <w:r>
        <w:rPr>
          <w:rFonts w:hint="default" w:ascii="仿宋_GB2312" w:eastAsia="仿宋_GB2312" w:cs="仿宋_GB2312"/>
          <w:color w:val="000000"/>
          <w:sz w:val="32"/>
          <w:szCs w:val="32"/>
          <w:shd w:val="clear" w:fill="FFFFFF"/>
        </w:rPr>
        <w:t>包括：</w:t>
      </w:r>
    </w:p>
    <w:p w14:paraId="5B8CF6A7">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default" w:ascii="仿宋_GB2312" w:eastAsia="仿宋_GB2312" w:cs="仿宋_GB2312"/>
          <w:color w:val="000000"/>
          <w:sz w:val="32"/>
          <w:szCs w:val="32"/>
          <w:shd w:val="clear" w:fill="FFFFFF"/>
        </w:rPr>
        <w:t>1.财政拨款收入213.24万元；</w:t>
      </w:r>
    </w:p>
    <w:p w14:paraId="2769FC1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default" w:ascii="仿宋_GB2312" w:eastAsia="仿宋_GB2312" w:cs="仿宋_GB2312"/>
          <w:color w:val="000000"/>
          <w:sz w:val="32"/>
          <w:szCs w:val="32"/>
          <w:shd w:val="clear" w:fill="FFFFFF"/>
        </w:rPr>
        <w:t>2.纳入预算管理的行政事业性收费等非税收入0万元；</w:t>
      </w:r>
    </w:p>
    <w:p w14:paraId="0CA57BE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3.纳入预算管理的政府性基金收入0万元；</w:t>
      </w:r>
    </w:p>
    <w:p w14:paraId="7A6F7DB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4.纳入专户管理的行政事业性收费收入0万元；</w:t>
      </w:r>
    </w:p>
    <w:p w14:paraId="4AE7879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5.转移性收入0万元。</w:t>
      </w:r>
    </w:p>
    <w:p w14:paraId="2735CF4F">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6.其他收入0万元。</w:t>
      </w:r>
    </w:p>
    <w:p w14:paraId="5B35E02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w:t>
      </w:r>
    </w:p>
    <w:p w14:paraId="26BE98F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default" w:ascii="仿宋_GB2312" w:eastAsia="仿宋_GB2312" w:cs="仿宋_GB2312"/>
          <w:b/>
          <w:bCs/>
          <w:color w:val="000000"/>
          <w:sz w:val="32"/>
          <w:szCs w:val="32"/>
          <w:shd w:val="clear" w:fill="FFFFFF"/>
        </w:rPr>
        <w:t>（二）支出预算213.24万元，</w:t>
      </w:r>
      <w:r>
        <w:rPr>
          <w:rFonts w:hint="default" w:ascii="仿宋_GB2312" w:eastAsia="仿宋_GB2312" w:cs="仿宋_GB2312"/>
          <w:color w:val="000000"/>
          <w:sz w:val="32"/>
          <w:szCs w:val="32"/>
          <w:shd w:val="clear" w:fill="FFFFFF"/>
        </w:rPr>
        <w:t>包括：</w:t>
      </w:r>
    </w:p>
    <w:p w14:paraId="3E40C8B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default" w:ascii="仿宋_GB2312" w:eastAsia="仿宋_GB2312" w:cs="仿宋_GB2312"/>
          <w:color w:val="000000"/>
          <w:sz w:val="32"/>
          <w:szCs w:val="32"/>
          <w:shd w:val="clear" w:fill="FFFFFF"/>
        </w:rPr>
        <w:t>1.基本支出105.24万元, 其中：人员经费96.76万元，公用经费8.48万元；</w:t>
      </w:r>
    </w:p>
    <w:p w14:paraId="50960F1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default" w:ascii="仿宋_GB2312" w:eastAsia="仿宋_GB2312" w:cs="仿宋_GB2312"/>
          <w:color w:val="000000"/>
          <w:sz w:val="32"/>
          <w:szCs w:val="32"/>
          <w:shd w:val="clear" w:fill="FFFFFF"/>
        </w:rPr>
        <w:t>2.项目支出108万元, 其中：特定目标类项目支出0万元，其他运转类项目支出108万元。</w:t>
      </w:r>
    </w:p>
    <w:p w14:paraId="3F56ADD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2023年预算收支比2022年减少23.77万元，增减变化的主要原因为压减开支。</w:t>
      </w:r>
    </w:p>
    <w:p w14:paraId="2D059F2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eastAsia" w:ascii="黑体" w:hAnsi="宋体" w:eastAsia="黑体" w:cs="黑体"/>
          <w:color w:val="000000"/>
          <w:sz w:val="32"/>
          <w:szCs w:val="32"/>
          <w:shd w:val="clear" w:fill="FFFFFF"/>
        </w:rPr>
        <w:t>二、机关运行经费安排情况</w:t>
      </w:r>
    </w:p>
    <w:p w14:paraId="2CD814D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2023年本溪市溪湖区财政局机关运行经费预算为8.48万元，主要包括办公及印刷费、邮电费、差旅费、会议费、福利费、日常维修费、专用材料及一般设备购置费、办公用房水电费、办公用房取暖费、办公用房物业管理费、公务用车运行维护费以及其他费用。2023年预算比2022年减少20万元，主要原因是减少疫情防控支出。</w:t>
      </w:r>
    </w:p>
    <w:p w14:paraId="1F09ED53">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eastAsia" w:ascii="黑体" w:hAnsi="宋体" w:eastAsia="黑体" w:cs="黑体"/>
          <w:color w:val="000000"/>
          <w:sz w:val="32"/>
          <w:szCs w:val="32"/>
          <w:shd w:val="clear" w:fill="FFFFFF"/>
        </w:rPr>
        <w:t>三、政府采购情况</w:t>
      </w:r>
    </w:p>
    <w:p w14:paraId="4A5461A7">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2023年本溪市溪湖区财政局安排政府采购预算0万元，其中：政府采购货物支出0万元，政府购买服务支出0万元，政府采购工程支出0万元。</w:t>
      </w:r>
    </w:p>
    <w:p w14:paraId="47FCD224">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60"/>
      </w:pPr>
      <w:r>
        <w:rPr>
          <w:rFonts w:hint="eastAsia" w:ascii="黑体" w:hAnsi="宋体" w:eastAsia="黑体" w:cs="黑体"/>
          <w:color w:val="000000"/>
          <w:sz w:val="32"/>
          <w:szCs w:val="32"/>
          <w:shd w:val="clear" w:fill="FFFFFF"/>
        </w:rPr>
        <w:t>四、“三公”经费预算情况</w:t>
      </w:r>
    </w:p>
    <w:p w14:paraId="196C5B1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2023年，本溪市溪湖区部门名称一般公共预算安排“三公”经费预算为0万元，比2022年减少0万元，下降0%。其中：</w:t>
      </w:r>
    </w:p>
    <w:p w14:paraId="009E5DB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1.因公出国（境）费0万元，比2022年持平。</w:t>
      </w:r>
    </w:p>
    <w:p w14:paraId="3AF062BC">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2.公务接待费0万元，比2022年增加/减少/持平0万元，主要原因是增加/减少/持平0人。</w:t>
      </w:r>
    </w:p>
    <w:p w14:paraId="688A59DC">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3.公务用车购置及运行费0万元，比2022年增加/减少/持平0万元，主要原因是……。</w:t>
      </w:r>
    </w:p>
    <w:p w14:paraId="7E57975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center"/>
      </w:pPr>
      <w:r>
        <w:rPr>
          <w:rFonts w:hint="default" w:ascii="仿宋_GB2312" w:eastAsia="仿宋_GB2312" w:cs="仿宋_GB2312"/>
          <w:b/>
          <w:bCs/>
          <w:color w:val="000000"/>
          <w:sz w:val="32"/>
          <w:szCs w:val="32"/>
          <w:shd w:val="clear" w:fill="FFFFFF"/>
        </w:rPr>
        <w:t>2023年本溪市溪湖区财政局“三公”经费预算表</w:t>
      </w:r>
    </w:p>
    <w:p w14:paraId="3FF01B0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jc w:val="right"/>
      </w:pPr>
      <w:r>
        <w:rPr>
          <w:rFonts w:hint="default" w:ascii="仿宋_GB2312" w:eastAsia="仿宋_GB2312" w:cs="仿宋_GB2312"/>
          <w:b/>
          <w:bCs/>
          <w:color w:val="000000"/>
          <w:sz w:val="29"/>
          <w:szCs w:val="29"/>
          <w:shd w:val="clear" w:fill="FFFFFF"/>
        </w:rPr>
        <w:t>单位：万元</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90"/>
        <w:gridCol w:w="2080"/>
        <w:gridCol w:w="2281"/>
      </w:tblGrid>
      <w:tr w14:paraId="6FB0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blCellSpacing w:w="0" w:type="dxa"/>
        </w:trPr>
        <w:tc>
          <w:tcPr>
            <w:tcW w:w="4125"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14:paraId="7F0D5AB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bdr w:val="none" w:color="auto" w:sz="0" w:space="0"/>
              </w:rPr>
              <w:t>项目</w:t>
            </w:r>
          </w:p>
        </w:tc>
        <w:tc>
          <w:tcPr>
            <w:tcW w:w="4500" w:type="dxa"/>
            <w:gridSpan w:val="2"/>
            <w:tcBorders>
              <w:top w:val="single" w:color="000000" w:sz="6" w:space="0"/>
              <w:left w:val="nil"/>
              <w:bottom w:val="single" w:color="DDDDDD" w:sz="6" w:space="0"/>
              <w:right w:val="single" w:color="000000" w:sz="6" w:space="0"/>
            </w:tcBorders>
            <w:shd w:val="clear"/>
            <w:tcMar>
              <w:top w:w="15" w:type="dxa"/>
              <w:left w:w="15" w:type="dxa"/>
              <w:bottom w:w="15" w:type="dxa"/>
              <w:right w:w="15" w:type="dxa"/>
            </w:tcMar>
            <w:vAlign w:val="center"/>
          </w:tcPr>
          <w:p w14:paraId="7E1D191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bdr w:val="none" w:color="auto" w:sz="0" w:space="0"/>
              </w:rPr>
              <w:t>金额</w:t>
            </w:r>
          </w:p>
        </w:tc>
      </w:tr>
      <w:tr w14:paraId="0A9B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412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14:paraId="2F55CCDA">
            <w:pPr>
              <w:rPr>
                <w:rFonts w:hint="eastAsia" w:ascii="宋体"/>
                <w:sz w:val="24"/>
                <w:szCs w:val="24"/>
              </w:rPr>
            </w:pPr>
          </w:p>
        </w:tc>
        <w:tc>
          <w:tcPr>
            <w:tcW w:w="214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14:paraId="6A0A0CFD">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bdr w:val="none" w:color="auto" w:sz="0" w:space="0"/>
              </w:rPr>
              <w:t>2022年</w:t>
            </w:r>
          </w:p>
        </w:tc>
        <w:tc>
          <w:tcPr>
            <w:tcW w:w="235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14:paraId="2A278975">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bdr w:val="none" w:color="auto" w:sz="0" w:space="0"/>
              </w:rPr>
              <w:t>2023年</w:t>
            </w:r>
          </w:p>
        </w:tc>
      </w:tr>
      <w:tr w14:paraId="7BA2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4125"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14:paraId="13E1ACC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24"/>
                <w:szCs w:val="24"/>
                <w:bdr w:val="none" w:color="auto" w:sz="0" w:space="0"/>
              </w:rPr>
              <w:t>合计</w:t>
            </w:r>
          </w:p>
        </w:tc>
        <w:tc>
          <w:tcPr>
            <w:tcW w:w="2145" w:type="dxa"/>
            <w:tcBorders>
              <w:top w:val="nil"/>
              <w:left w:val="nil"/>
              <w:bottom w:val="single" w:color="DDDDDD" w:sz="6" w:space="0"/>
              <w:right w:val="single" w:color="000000" w:sz="6" w:space="0"/>
            </w:tcBorders>
            <w:shd w:val="clear"/>
            <w:tcMar>
              <w:top w:w="15" w:type="dxa"/>
              <w:left w:w="15" w:type="dxa"/>
              <w:bottom w:w="15" w:type="dxa"/>
              <w:right w:w="15" w:type="dxa"/>
            </w:tcMar>
            <w:vAlign w:val="center"/>
          </w:tcPr>
          <w:p w14:paraId="3E1E2725">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c>
          <w:tcPr>
            <w:tcW w:w="2355" w:type="dxa"/>
            <w:tcBorders>
              <w:top w:val="nil"/>
              <w:left w:val="nil"/>
              <w:bottom w:val="single" w:color="DDDDDD" w:sz="6" w:space="0"/>
              <w:right w:val="single" w:color="000000" w:sz="6" w:space="0"/>
            </w:tcBorders>
            <w:shd w:val="clear"/>
            <w:tcMar>
              <w:top w:w="15" w:type="dxa"/>
              <w:left w:w="15" w:type="dxa"/>
              <w:bottom w:w="15" w:type="dxa"/>
              <w:right w:w="15" w:type="dxa"/>
            </w:tcMar>
            <w:vAlign w:val="center"/>
          </w:tcPr>
          <w:p w14:paraId="4A5ADCE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pPr>
            <w:r>
              <w:rPr>
                <w:bdr w:val="none" w:color="auto" w:sz="0" w:space="0"/>
              </w:rPr>
              <w:t> </w:t>
            </w:r>
          </w:p>
        </w:tc>
      </w:tr>
      <w:tr w14:paraId="395E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4125" w:type="dxa"/>
            <w:tcBorders>
              <w:top w:val="nil"/>
              <w:left w:val="single" w:color="000000" w:sz="6" w:space="0"/>
              <w:bottom w:val="single" w:color="000000" w:sz="6" w:space="0"/>
              <w:right w:val="single" w:color="DDDDDD" w:sz="6" w:space="0"/>
            </w:tcBorders>
            <w:shd w:val="clear"/>
            <w:tcMar>
              <w:top w:w="15" w:type="dxa"/>
              <w:left w:w="15" w:type="dxa"/>
              <w:bottom w:w="15" w:type="dxa"/>
              <w:right w:w="15" w:type="dxa"/>
            </w:tcMar>
            <w:vAlign w:val="center"/>
          </w:tcPr>
          <w:p w14:paraId="1ADFC3D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4"/>
                <w:szCs w:val="24"/>
                <w:bdr w:val="none" w:color="auto" w:sz="0" w:space="0"/>
              </w:rPr>
              <w:t>1、因公出国（境）费</w:t>
            </w:r>
          </w:p>
        </w:tc>
        <w:tc>
          <w:tcPr>
            <w:tcW w:w="2145" w:type="dxa"/>
            <w:tcBorders>
              <w:top w:val="single" w:color="000000" w:sz="6" w:space="0"/>
              <w:left w:val="single" w:color="000000" w:sz="6" w:space="0"/>
              <w:bottom w:val="single" w:color="DDDDDD" w:sz="6" w:space="0"/>
              <w:right w:val="single" w:color="DDDDDD" w:sz="6" w:space="0"/>
            </w:tcBorders>
            <w:shd w:val="clear"/>
            <w:tcMar>
              <w:top w:w="15" w:type="dxa"/>
              <w:left w:w="15" w:type="dxa"/>
              <w:bottom w:w="15" w:type="dxa"/>
              <w:right w:w="15" w:type="dxa"/>
            </w:tcMar>
            <w:vAlign w:val="center"/>
          </w:tcPr>
          <w:p w14:paraId="2C0D2E85">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c>
          <w:tcPr>
            <w:tcW w:w="235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14:paraId="2D1E441F">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r>
      <w:tr w14:paraId="4526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4125" w:type="dxa"/>
            <w:tcBorders>
              <w:top w:val="nil"/>
              <w:left w:val="single" w:color="000000" w:sz="6" w:space="0"/>
              <w:bottom w:val="single" w:color="000000" w:sz="6" w:space="0"/>
              <w:right w:val="single" w:color="DDDDDD" w:sz="6" w:space="0"/>
            </w:tcBorders>
            <w:shd w:val="clear"/>
            <w:tcMar>
              <w:top w:w="15" w:type="dxa"/>
              <w:left w:w="15" w:type="dxa"/>
              <w:bottom w:w="15" w:type="dxa"/>
              <w:right w:w="15" w:type="dxa"/>
            </w:tcMar>
            <w:vAlign w:val="center"/>
          </w:tcPr>
          <w:p w14:paraId="5D94E8B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4"/>
                <w:szCs w:val="24"/>
                <w:bdr w:val="none" w:color="auto" w:sz="0" w:space="0"/>
              </w:rPr>
              <w:t>2、公务接待费</w:t>
            </w:r>
          </w:p>
        </w:tc>
        <w:tc>
          <w:tcPr>
            <w:tcW w:w="2145" w:type="dxa"/>
            <w:tcBorders>
              <w:top w:val="single" w:color="000000" w:sz="6" w:space="0"/>
              <w:left w:val="single" w:color="000000" w:sz="6" w:space="0"/>
              <w:bottom w:val="single" w:color="000000" w:sz="6" w:space="0"/>
              <w:right w:val="single" w:color="DDDDDD" w:sz="6" w:space="0"/>
            </w:tcBorders>
            <w:shd w:val="clear"/>
            <w:tcMar>
              <w:top w:w="15" w:type="dxa"/>
              <w:left w:w="15" w:type="dxa"/>
              <w:bottom w:w="15" w:type="dxa"/>
              <w:right w:w="15" w:type="dxa"/>
            </w:tcMar>
            <w:vAlign w:val="center"/>
          </w:tcPr>
          <w:p w14:paraId="333F6875">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c>
          <w:tcPr>
            <w:tcW w:w="2355" w:type="dxa"/>
            <w:tcBorders>
              <w:top w:val="single" w:color="DDDDDD"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14:paraId="181F8D97">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pPr>
            <w:r>
              <w:rPr>
                <w:bdr w:val="none" w:color="auto" w:sz="0" w:space="0"/>
              </w:rPr>
              <w:t> </w:t>
            </w:r>
          </w:p>
        </w:tc>
      </w:tr>
      <w:tr w14:paraId="4142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4125" w:type="dxa"/>
            <w:tcBorders>
              <w:top w:val="nil"/>
              <w:left w:val="single" w:color="000000" w:sz="6" w:space="0"/>
              <w:bottom w:val="single" w:color="000000" w:sz="6" w:space="0"/>
              <w:right w:val="single" w:color="DDDDDD" w:sz="6" w:space="0"/>
            </w:tcBorders>
            <w:shd w:val="clear"/>
            <w:tcMar>
              <w:top w:w="15" w:type="dxa"/>
              <w:left w:w="15" w:type="dxa"/>
              <w:bottom w:w="15" w:type="dxa"/>
              <w:right w:w="15" w:type="dxa"/>
            </w:tcMar>
            <w:vAlign w:val="center"/>
          </w:tcPr>
          <w:p w14:paraId="4783A319">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4"/>
                <w:szCs w:val="24"/>
                <w:bdr w:val="none" w:color="auto" w:sz="0" w:space="0"/>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shd w:val="clear"/>
            <w:tcMar>
              <w:top w:w="15" w:type="dxa"/>
              <w:left w:w="15" w:type="dxa"/>
              <w:bottom w:w="15" w:type="dxa"/>
              <w:right w:w="15" w:type="dxa"/>
            </w:tcMar>
            <w:vAlign w:val="center"/>
          </w:tcPr>
          <w:p w14:paraId="74F4AB01">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c>
          <w:tcPr>
            <w:tcW w:w="2355" w:type="dxa"/>
            <w:tcBorders>
              <w:top w:val="single" w:color="DDDDDD" w:sz="6" w:space="0"/>
              <w:left w:val="single" w:color="000000" w:sz="6" w:space="0"/>
              <w:bottom w:val="single" w:color="DDDDDD" w:sz="6" w:space="0"/>
              <w:right w:val="single" w:color="000000" w:sz="6" w:space="0"/>
            </w:tcBorders>
            <w:shd w:val="clear"/>
            <w:tcMar>
              <w:top w:w="15" w:type="dxa"/>
              <w:left w:w="15" w:type="dxa"/>
              <w:bottom w:w="15" w:type="dxa"/>
              <w:right w:w="15" w:type="dxa"/>
            </w:tcMar>
            <w:vAlign w:val="center"/>
          </w:tcPr>
          <w:p w14:paraId="0A3F3C0A">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r>
      <w:tr w14:paraId="1060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4125" w:type="dxa"/>
            <w:tcBorders>
              <w:top w:val="nil"/>
              <w:left w:val="single" w:color="000000" w:sz="6" w:space="0"/>
              <w:bottom w:val="single" w:color="000000" w:sz="6" w:space="0"/>
              <w:right w:val="single" w:color="DDDDDD" w:sz="6" w:space="0"/>
            </w:tcBorders>
            <w:shd w:val="clear"/>
            <w:tcMar>
              <w:top w:w="15" w:type="dxa"/>
              <w:left w:w="15" w:type="dxa"/>
              <w:bottom w:w="15" w:type="dxa"/>
              <w:right w:w="15" w:type="dxa"/>
            </w:tcMar>
            <w:vAlign w:val="center"/>
          </w:tcPr>
          <w:p w14:paraId="200C2A2B">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4"/>
                <w:szCs w:val="24"/>
                <w:bdr w:val="none" w:color="auto" w:sz="0" w:space="0"/>
              </w:rPr>
              <w:t>其中：公务用车购置</w:t>
            </w:r>
          </w:p>
        </w:tc>
        <w:tc>
          <w:tcPr>
            <w:tcW w:w="2145" w:type="dxa"/>
            <w:tcBorders>
              <w:top w:val="single" w:color="000000" w:sz="6" w:space="0"/>
              <w:left w:val="single" w:color="000000" w:sz="6" w:space="0"/>
              <w:bottom w:val="single" w:color="DDDDDD" w:sz="6" w:space="0"/>
              <w:right w:val="single" w:color="DDDDDD" w:sz="6" w:space="0"/>
            </w:tcBorders>
            <w:shd w:val="clear"/>
            <w:tcMar>
              <w:top w:w="15" w:type="dxa"/>
              <w:left w:w="15" w:type="dxa"/>
              <w:bottom w:w="15" w:type="dxa"/>
              <w:right w:w="15" w:type="dxa"/>
            </w:tcMar>
            <w:vAlign w:val="center"/>
          </w:tcPr>
          <w:p w14:paraId="473B1EFF">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c>
          <w:tcPr>
            <w:tcW w:w="2355"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14:paraId="70FF4C81">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r>
      <w:tr w14:paraId="7442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4125" w:type="dxa"/>
            <w:tcBorders>
              <w:top w:val="nil"/>
              <w:left w:val="single" w:color="000000" w:sz="6" w:space="0"/>
              <w:bottom w:val="single" w:color="000000" w:sz="6" w:space="0"/>
              <w:right w:val="single" w:color="DDDDDD" w:sz="6" w:space="0"/>
            </w:tcBorders>
            <w:shd w:val="clear"/>
            <w:tcMar>
              <w:top w:w="15" w:type="dxa"/>
              <w:left w:w="15" w:type="dxa"/>
              <w:bottom w:w="15" w:type="dxa"/>
              <w:right w:w="15" w:type="dxa"/>
            </w:tcMar>
            <w:vAlign w:val="center"/>
          </w:tcPr>
          <w:p w14:paraId="02420CD0">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4"/>
                <w:szCs w:val="24"/>
                <w:bdr w:val="none" w:color="auto" w:sz="0" w:space="0"/>
              </w:rPr>
              <w:t>公务用车运行费</w:t>
            </w:r>
          </w:p>
        </w:tc>
        <w:tc>
          <w:tcPr>
            <w:tcW w:w="2145" w:type="dxa"/>
            <w:tcBorders>
              <w:top w:val="single" w:color="000000" w:sz="6" w:space="0"/>
              <w:left w:val="single" w:color="000000" w:sz="6" w:space="0"/>
              <w:bottom w:val="single" w:color="000000" w:sz="6" w:space="0"/>
              <w:right w:val="single" w:color="DDDDDD" w:sz="6" w:space="0"/>
            </w:tcBorders>
            <w:shd w:val="clear"/>
            <w:tcMar>
              <w:top w:w="15" w:type="dxa"/>
              <w:left w:w="15" w:type="dxa"/>
              <w:bottom w:w="15" w:type="dxa"/>
              <w:right w:w="15" w:type="dxa"/>
            </w:tcMar>
            <w:vAlign w:val="center"/>
          </w:tcPr>
          <w:p w14:paraId="08F11DB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tc>
        <w:tc>
          <w:tcPr>
            <w:tcW w:w="2355" w:type="dxa"/>
            <w:tcBorders>
              <w:top w:val="single" w:color="DDDDDD"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14:paraId="32BD9592">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pPr>
            <w:r>
              <w:rPr>
                <w:bdr w:val="none" w:color="auto" w:sz="0" w:space="0"/>
              </w:rPr>
              <w:t> </w:t>
            </w:r>
          </w:p>
        </w:tc>
      </w:tr>
    </w:tbl>
    <w:p w14:paraId="13D3E611">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pPr>
      <w:r>
        <w:rPr>
          <w:bdr w:val="none" w:color="auto" w:sz="0" w:space="0"/>
          <w:shd w:val="clear" w:fill="FFFFFF"/>
        </w:rPr>
        <w:t> </w:t>
      </w:r>
    </w:p>
    <w:p w14:paraId="26494007">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eastAsia" w:ascii="黑体" w:hAnsi="宋体" w:eastAsia="黑体" w:cs="黑体"/>
          <w:color w:val="000000"/>
          <w:sz w:val="32"/>
          <w:szCs w:val="32"/>
          <w:shd w:val="clear" w:fill="FFFFFF"/>
        </w:rPr>
        <w:t>五、国有资产占用情况</w:t>
      </w:r>
    </w:p>
    <w:p w14:paraId="00DC53C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本溪市溪湖区部门名称共有车辆0台，其中：一般公务用车0台……。其他国有资产情况……</w:t>
      </w:r>
    </w:p>
    <w:p w14:paraId="36CFC05E">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eastAsia" w:ascii="黑体" w:hAnsi="宋体" w:eastAsia="黑体" w:cs="黑体"/>
          <w:color w:val="000000"/>
          <w:sz w:val="32"/>
          <w:szCs w:val="32"/>
          <w:shd w:val="clear" w:fill="FFFFFF"/>
        </w:rPr>
        <w:t>六、绩效情况</w:t>
      </w:r>
    </w:p>
    <w:p w14:paraId="416CEC76">
      <w:pPr>
        <w:pStyle w:val="4"/>
        <w:keepNext w:val="0"/>
        <w:keepLines/>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firstLine="645"/>
      </w:pPr>
      <w:r>
        <w:rPr>
          <w:rFonts w:hint="default" w:ascii="仿宋_GB2312" w:eastAsia="仿宋_GB2312" w:cs="仿宋_GB2312"/>
          <w:color w:val="000000"/>
          <w:sz w:val="32"/>
          <w:szCs w:val="32"/>
          <w:shd w:val="clear" w:fill="FFFFFF"/>
        </w:rPr>
        <w:t>根据预算绩效管理要求，本溪市溪湖区财政局2023年应编制绩效目标的特定目标类项目共0个，实际编制绩效目标项目共3个，编制绩效目标的项目覆盖率（实际编制绩效目标的项目/应编制绩效目标的项目）为0%，涉及资金108万元。</w:t>
      </w:r>
    </w:p>
    <w:p w14:paraId="19A62D03">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358015EF">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020EEA51">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1761D848">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3D1056E2">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1E8E8CD1">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5D1A5B2E">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564A944B">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2EB44C16">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3E9288DF">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0F2E5E5E">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5A6560C5">
      <w:pPr>
        <w:pStyle w:val="4"/>
        <w:keepNext w:val="0"/>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62FBE261">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62E85B13">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b/>
          <w:bCs/>
          <w:color w:val="000000"/>
          <w:sz w:val="36"/>
          <w:szCs w:val="36"/>
        </w:rPr>
        <w:t>第四部分 名词解释</w:t>
      </w:r>
    </w:p>
    <w:p w14:paraId="700FFB87">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bdr w:val="none" w:color="auto" w:sz="0" w:space="0"/>
        </w:rPr>
        <w:t> </w:t>
      </w:r>
    </w:p>
    <w:p w14:paraId="73DB2B0C">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1.财政拨款收入：</w:t>
      </w:r>
      <w:r>
        <w:rPr>
          <w:rFonts w:hint="default" w:ascii="仿宋_GB2312" w:eastAsia="仿宋_GB2312" w:cs="仿宋_GB2312"/>
          <w:color w:val="000000"/>
          <w:sz w:val="32"/>
          <w:szCs w:val="32"/>
        </w:rPr>
        <w:t>指市级财政当年拨付的资金。</w:t>
      </w:r>
    </w:p>
    <w:p w14:paraId="1AF4EC9F">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2.基本支出：</w:t>
      </w:r>
      <w:r>
        <w:rPr>
          <w:rFonts w:hint="default" w:ascii="仿宋_GB2312" w:eastAsia="仿宋_GB2312" w:cs="仿宋_GB2312"/>
          <w:color w:val="000000"/>
          <w:sz w:val="32"/>
          <w:szCs w:val="32"/>
        </w:rPr>
        <w:t>指保障机构正常运转、完成日常工作任务而发生的人员支出和公用支出。</w:t>
      </w:r>
    </w:p>
    <w:p w14:paraId="625EC9C5">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3.项目支出：</w:t>
      </w:r>
      <w:r>
        <w:rPr>
          <w:rFonts w:hint="default" w:ascii="仿宋_GB2312" w:eastAsia="仿宋_GB2312" w:cs="仿宋_GB2312"/>
          <w:color w:val="000000"/>
          <w:sz w:val="32"/>
          <w:szCs w:val="32"/>
        </w:rPr>
        <w:t>指在基本支出之外为完成特定行政任务和事业发展目标所发生的支出。</w:t>
      </w:r>
    </w:p>
    <w:p w14:paraId="1D3B2534">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jc w:val="both"/>
      </w:pPr>
      <w:r>
        <w:rPr>
          <w:rFonts w:hint="default" w:ascii="仿宋_GB2312" w:eastAsia="仿宋_GB2312" w:cs="仿宋_GB2312"/>
          <w:b/>
          <w:bCs/>
          <w:color w:val="000000"/>
          <w:sz w:val="32"/>
          <w:szCs w:val="32"/>
        </w:rPr>
        <w:t>4.机关运行经费：</w:t>
      </w:r>
      <w:r>
        <w:rPr>
          <w:rFonts w:hint="default" w:ascii="仿宋_GB2312" w:eastAsia="仿宋_GB2312" w:cs="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2BD40F">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5.行政事业性收费收入：</w:t>
      </w:r>
      <w:r>
        <w:rPr>
          <w:rFonts w:hint="default" w:ascii="仿宋_GB2312" w:eastAsia="仿宋_GB2312" w:cs="仿宋_GB2312"/>
          <w:color w:val="000000"/>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2DDCD372">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bookmarkStart w:id="1" w:name="OLE_LINK1"/>
      <w:r>
        <w:rPr>
          <w:rFonts w:hint="default" w:ascii="仿宋_GB2312" w:eastAsia="仿宋_GB2312" w:cs="仿宋_GB2312"/>
          <w:b/>
          <w:bCs/>
          <w:color w:val="000000"/>
          <w:sz w:val="32"/>
          <w:szCs w:val="32"/>
        </w:rPr>
        <w:t>6.政府性基金收入</w:t>
      </w:r>
      <w:bookmarkEnd w:id="1"/>
      <w:r>
        <w:rPr>
          <w:rFonts w:hint="default" w:ascii="仿宋_GB2312" w:eastAsia="仿宋_GB2312" w:cs="仿宋_GB2312"/>
          <w:b/>
          <w:bCs/>
          <w:color w:val="000000"/>
          <w:sz w:val="32"/>
          <w:szCs w:val="32"/>
        </w:rPr>
        <w:t>：</w:t>
      </w:r>
      <w:r>
        <w:rPr>
          <w:rFonts w:hint="default" w:ascii="仿宋_GB2312" w:eastAsia="仿宋_GB2312" w:cs="仿宋_GB2312"/>
          <w:color w:val="000000"/>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1EDE9164">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7.其他收入：</w:t>
      </w:r>
      <w:r>
        <w:rPr>
          <w:rFonts w:hint="default" w:ascii="仿宋_GB2312" w:eastAsia="仿宋_GB2312" w:cs="仿宋_GB2312"/>
          <w:color w:val="000000"/>
          <w:sz w:val="32"/>
          <w:szCs w:val="32"/>
        </w:rPr>
        <w:t>指除上述“财政拨款收入”、“行政事业性收费收入”、“政府性基金收入”以外的收入。</w:t>
      </w:r>
    </w:p>
    <w:p w14:paraId="5DEAF7EC">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8.“三公”经费</w:t>
      </w:r>
      <w:r>
        <w:rPr>
          <w:rFonts w:hint="default" w:ascii="仿宋_GB2312" w:eastAsia="仿宋_GB2312" w:cs="仿宋_GB2312"/>
          <w:color w:val="00000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51718FF9">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9.一般公共服务（类）财政事务（款）行政运行（项）：</w:t>
      </w:r>
      <w:r>
        <w:rPr>
          <w:rFonts w:hint="default" w:ascii="仿宋_GB2312" w:eastAsia="仿宋_GB2312" w:cs="仿宋_GB2312"/>
          <w:color w:val="000000"/>
          <w:sz w:val="32"/>
          <w:szCs w:val="32"/>
        </w:rPr>
        <w:t>反映行政单位（包括实行公务员管理的事业单位）的基本支出。</w:t>
      </w:r>
    </w:p>
    <w:p w14:paraId="7831C678">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10.一般公共服务（类）财政事务（款）事业运行（项）：</w:t>
      </w:r>
      <w:r>
        <w:rPr>
          <w:rFonts w:hint="default" w:ascii="仿宋_GB2312" w:eastAsia="仿宋_GB2312" w:cs="仿宋_GB2312"/>
          <w:color w:val="000000"/>
          <w:sz w:val="32"/>
          <w:szCs w:val="32"/>
        </w:rPr>
        <w:t>反映事业单位的基本支出，不包括行政单位（包括实行公务</w:t>
      </w:r>
      <w:bookmarkStart w:id="2" w:name="_GoBack"/>
      <w:bookmarkEnd w:id="2"/>
      <w:r>
        <w:rPr>
          <w:rFonts w:hint="default" w:ascii="仿宋_GB2312" w:eastAsia="仿宋_GB2312" w:cs="仿宋_GB2312"/>
          <w:color w:val="000000"/>
          <w:sz w:val="32"/>
          <w:szCs w:val="32"/>
        </w:rPr>
        <w:t>员管理的事业单位）后勤服务中心、医务室等附属事业单位。</w:t>
      </w:r>
    </w:p>
    <w:p w14:paraId="61346593">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11.一般公共服务（类）财政事务（款）其他财政事务支出（项）：</w:t>
      </w:r>
      <w:r>
        <w:rPr>
          <w:rFonts w:hint="default" w:ascii="仿宋_GB2312" w:eastAsia="仿宋_GB2312" w:cs="仿宋_GB2312"/>
          <w:color w:val="000000"/>
          <w:sz w:val="32"/>
          <w:szCs w:val="32"/>
        </w:rPr>
        <w:t>反映除上述项目以外其他财政事务方面的支出。</w:t>
      </w:r>
    </w:p>
    <w:p w14:paraId="0B5F7006">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12.社会保障和就业（类）行政事业单位离退休（款）归口管理的行政单位离退休（项）：</w:t>
      </w:r>
      <w:r>
        <w:rPr>
          <w:rFonts w:hint="default" w:ascii="仿宋_GB2312" w:eastAsia="仿宋_GB2312" w:cs="仿宋_GB2312"/>
          <w:color w:val="000000"/>
          <w:sz w:val="32"/>
          <w:szCs w:val="32"/>
        </w:rPr>
        <w:t>反映实行归口管理的行政单位（包括实行公务员管理的事业单位）开支的离退休经费。</w:t>
      </w:r>
    </w:p>
    <w:p w14:paraId="225D0951">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13.社会保障和就业（类）行政事业单位离退休（款）事业单位离退休（项）：</w:t>
      </w:r>
      <w:r>
        <w:rPr>
          <w:rFonts w:hint="default" w:ascii="仿宋_GB2312" w:eastAsia="仿宋_GB2312" w:cs="仿宋_GB2312"/>
          <w:color w:val="000000"/>
          <w:sz w:val="32"/>
          <w:szCs w:val="32"/>
        </w:rPr>
        <w:t>反映实行归口管理的事业单位开支的离退休经费。</w:t>
      </w:r>
    </w:p>
    <w:p w14:paraId="0D0B5ACA">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3"/>
      </w:pPr>
      <w:r>
        <w:rPr>
          <w:rFonts w:hint="default" w:ascii="仿宋_GB2312" w:eastAsia="仿宋_GB2312" w:cs="仿宋_GB2312"/>
          <w:b/>
          <w:bCs/>
          <w:color w:val="000000"/>
          <w:sz w:val="32"/>
          <w:szCs w:val="32"/>
        </w:rPr>
        <w:t>14.住房保障（类）住房改革（款）住房公积金（项）：</w:t>
      </w:r>
      <w:r>
        <w:rPr>
          <w:rFonts w:hint="default" w:ascii="仿宋_GB2312" w:eastAsia="仿宋_GB2312" w:cs="仿宋_GB2312"/>
          <w:color w:val="000000"/>
          <w:sz w:val="32"/>
          <w:szCs w:val="32"/>
        </w:rPr>
        <w:t>反映行政事业单位按人力资源和社会保障部、财政部规定的基本工资和津贴补贴以及规定比例为职工缴纳的住房公积金。</w:t>
      </w:r>
    </w:p>
    <w:bookmarkEnd w:id="0"/>
    <w:p w14:paraId="1E8A01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F06AC"/>
    <w:rsid w:val="54DF1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171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2025-05-15T03:01:44Z</dcterms:created>
  <dc:creator>Administrator</dc:creator>
  <cp:lastModifiedBy>Administrator</cp:lastModifiedBy>
  <dcterms:modified xsi:type="dcterms:W3CDTF">2025-05-15T05:56:04Z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eyJoZGlkIjoiNWFmM2Y2NTU0OTlkOGQ4ZDhmMWQwYTAxYTRjMzcwNGIifQ==</vt:lpwstr>
  </property>
  <property fmtid="{D5CDD505-2E9C-101B-9397-08002B2CF9AE}" pid="4" name="ICV">
    <vt:lpwstr>1EE4548BB1F448A497ED366AC7082430_13</vt:lpwstr>
  </property>
</Properties>
</file>