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FEFA35">
      <w:pPr>
        <w:widowControl/>
        <w:shd w:val="clear" w:color="auto" w:fill="FFFFFF"/>
        <w:jc w:val="center"/>
        <w:rPr>
          <w:rFonts w:hint="eastAsia" w:ascii="Times New Roman" w:hAnsi="Times New Roman" w:eastAsia="宋体" w:cs="Times New Roman"/>
          <w:b/>
          <w:bCs/>
          <w:color w:val="333333"/>
          <w:kern w:val="0"/>
          <w:sz w:val="53"/>
          <w:szCs w:val="53"/>
        </w:rPr>
      </w:pPr>
    </w:p>
    <w:p w14:paraId="7D0AD371">
      <w:pPr>
        <w:widowControl/>
        <w:shd w:val="clear" w:color="auto" w:fill="FFFFFF"/>
        <w:jc w:val="center"/>
        <w:rPr>
          <w:rFonts w:ascii="Times New Roman" w:hAnsi="Times New Roman" w:eastAsia="微软雅黑" w:cs="Times New Roman"/>
          <w:color w:val="333333"/>
          <w:kern w:val="0"/>
          <w:sz w:val="24"/>
          <w:szCs w:val="24"/>
        </w:rPr>
      </w:pPr>
    </w:p>
    <w:p w14:paraId="7F9CBB92">
      <w:pPr>
        <w:widowControl/>
        <w:shd w:val="clear" w:color="auto" w:fill="FFFFFF"/>
        <w:jc w:val="center"/>
        <w:rPr>
          <w:rFonts w:ascii="Times New Roman" w:hAnsi="Times New Roman" w:eastAsia="微软雅黑" w:cs="Times New Roman"/>
          <w:color w:val="333333"/>
          <w:kern w:val="0"/>
          <w:sz w:val="24"/>
          <w:szCs w:val="24"/>
        </w:rPr>
      </w:pPr>
    </w:p>
    <w:p w14:paraId="451E01EB">
      <w:pPr>
        <w:widowControl/>
        <w:shd w:val="clear" w:color="auto" w:fill="FFFFFF"/>
        <w:jc w:val="center"/>
        <w:rPr>
          <w:rFonts w:ascii="Times New Roman" w:hAnsi="Times New Roman" w:eastAsia="微软雅黑" w:cs="Times New Roman"/>
          <w:color w:val="333333"/>
          <w:kern w:val="0"/>
          <w:sz w:val="24"/>
          <w:szCs w:val="24"/>
        </w:rPr>
      </w:pPr>
    </w:p>
    <w:p w14:paraId="00ABEDF5">
      <w:pPr>
        <w:widowControl/>
        <w:shd w:val="clear" w:color="auto" w:fill="FFFFFF"/>
        <w:jc w:val="center"/>
        <w:rPr>
          <w:rFonts w:ascii="Times New Roman" w:hAnsi="Times New Roman" w:eastAsia="微软雅黑" w:cs="Times New Roman"/>
          <w:color w:val="333333"/>
          <w:kern w:val="0"/>
          <w:sz w:val="24"/>
          <w:szCs w:val="24"/>
        </w:rPr>
      </w:pPr>
    </w:p>
    <w:p w14:paraId="537700F8">
      <w:pPr>
        <w:widowControl/>
        <w:shd w:val="clear" w:color="auto" w:fill="FFFFFF"/>
        <w:jc w:val="center"/>
        <w:rPr>
          <w:rFonts w:ascii="Times New Roman" w:hAnsi="Times New Roman" w:eastAsia="微软雅黑" w:cs="Times New Roman"/>
          <w:color w:val="333333"/>
          <w:kern w:val="0"/>
          <w:sz w:val="24"/>
          <w:szCs w:val="24"/>
        </w:rPr>
      </w:pPr>
    </w:p>
    <w:p w14:paraId="367F1D35">
      <w:pPr>
        <w:widowControl/>
        <w:shd w:val="clear" w:color="auto" w:fill="FFFFFF"/>
        <w:jc w:val="center"/>
        <w:rPr>
          <w:rFonts w:ascii="Times New Roman" w:hAnsi="Times New Roman" w:eastAsia="微软雅黑" w:cs="Times New Roman"/>
          <w:color w:val="333333"/>
          <w:kern w:val="0"/>
          <w:sz w:val="24"/>
          <w:szCs w:val="24"/>
        </w:rPr>
      </w:pPr>
    </w:p>
    <w:p w14:paraId="0C28807F">
      <w:pPr>
        <w:widowControl/>
        <w:shd w:val="clear" w:color="auto" w:fill="FFFFFF"/>
        <w:jc w:val="center"/>
        <w:rPr>
          <w:rFonts w:ascii="Times New Roman" w:hAnsi="Times New Roman" w:eastAsia="微软雅黑" w:cs="Times New Roman"/>
          <w:color w:val="333333"/>
          <w:kern w:val="0"/>
          <w:sz w:val="24"/>
          <w:szCs w:val="24"/>
        </w:rPr>
      </w:pPr>
    </w:p>
    <w:p w14:paraId="6BD94481">
      <w:pPr>
        <w:widowControl/>
        <w:shd w:val="clear" w:color="auto" w:fill="FFFFFF"/>
        <w:jc w:val="center"/>
        <w:rPr>
          <w:rFonts w:ascii="Times New Roman" w:hAnsi="Times New Roman" w:eastAsia="微软雅黑" w:cs="Times New Roman"/>
          <w:color w:val="333333"/>
          <w:kern w:val="0"/>
          <w:sz w:val="24"/>
          <w:szCs w:val="24"/>
        </w:rPr>
      </w:pPr>
    </w:p>
    <w:p w14:paraId="72D70C4F">
      <w:pPr>
        <w:widowControl/>
        <w:shd w:val="clear" w:color="auto" w:fill="FFFFFF"/>
        <w:jc w:val="center"/>
        <w:rPr>
          <w:rFonts w:ascii="Times New Roman" w:hAnsi="Times New Roman" w:eastAsia="微软雅黑" w:cs="Times New Roman"/>
          <w:color w:val="333333"/>
          <w:kern w:val="0"/>
          <w:sz w:val="24"/>
          <w:szCs w:val="24"/>
        </w:rPr>
      </w:pPr>
    </w:p>
    <w:p w14:paraId="7A890F94">
      <w:pPr>
        <w:widowControl/>
        <w:shd w:val="clear" w:color="auto" w:fill="FFFFFF"/>
        <w:jc w:val="center"/>
        <w:rPr>
          <w:rFonts w:ascii="Times New Roman" w:hAnsi="Times New Roman" w:eastAsia="宋体" w:cs="Times New Roman"/>
          <w:b/>
          <w:bCs/>
          <w:color w:val="333333"/>
          <w:kern w:val="0"/>
          <w:sz w:val="53"/>
          <w:szCs w:val="53"/>
        </w:rPr>
      </w:pPr>
    </w:p>
    <w:p w14:paraId="60A82C3C">
      <w:pPr>
        <w:widowControl/>
        <w:shd w:val="clear" w:color="auto" w:fill="FFFFFF"/>
        <w:jc w:val="center"/>
        <w:rPr>
          <w:rFonts w:ascii="Times New Roman" w:hAnsi="Times New Roman" w:eastAsia="宋体" w:cs="Times New Roman"/>
          <w:b/>
          <w:bCs/>
          <w:color w:val="333333"/>
          <w:kern w:val="0"/>
          <w:sz w:val="53"/>
          <w:szCs w:val="53"/>
        </w:rPr>
      </w:pPr>
    </w:p>
    <w:p w14:paraId="52E55DEB">
      <w:pPr>
        <w:widowControl/>
        <w:shd w:val="clear" w:color="auto" w:fill="FFFFFF"/>
        <w:jc w:val="center"/>
        <w:rPr>
          <w:rFonts w:ascii="Times New Roman" w:hAnsi="Times New Roman" w:eastAsia="宋体" w:cs="Times New Roman"/>
          <w:b/>
          <w:bCs/>
          <w:color w:val="333333"/>
          <w:kern w:val="0"/>
          <w:sz w:val="53"/>
          <w:szCs w:val="53"/>
        </w:rPr>
      </w:pPr>
    </w:p>
    <w:p w14:paraId="6E5895DD">
      <w:pPr>
        <w:widowControl/>
        <w:shd w:val="clear" w:color="auto" w:fill="FFFFFF"/>
        <w:jc w:val="center"/>
        <w:rPr>
          <w:rFonts w:ascii="Times New Roman" w:hAnsi="Times New Roman" w:eastAsia="宋体" w:cs="Times New Roman"/>
          <w:b/>
          <w:bCs/>
          <w:color w:val="333333"/>
          <w:kern w:val="0"/>
          <w:sz w:val="53"/>
          <w:szCs w:val="53"/>
        </w:rPr>
      </w:pPr>
    </w:p>
    <w:p w14:paraId="13689459">
      <w:pPr>
        <w:widowControl/>
        <w:shd w:val="clear" w:color="auto" w:fill="FFFFFF"/>
        <w:jc w:val="center"/>
        <w:rPr>
          <w:rFonts w:ascii="Times New Roman" w:hAnsi="Times New Roman" w:eastAsia="微软雅黑" w:cs="Times New Roman"/>
          <w:color w:val="333333"/>
          <w:kern w:val="0"/>
          <w:sz w:val="24"/>
          <w:szCs w:val="24"/>
        </w:rPr>
      </w:pPr>
      <w:r>
        <w:rPr>
          <w:rFonts w:ascii="Times New Roman" w:hAnsi="宋体" w:eastAsia="宋体" w:cs="Times New Roman"/>
          <w:b/>
          <w:bCs/>
          <w:color w:val="333333"/>
          <w:kern w:val="0"/>
          <w:sz w:val="53"/>
          <w:szCs w:val="53"/>
        </w:rPr>
        <w:t>本溪市溪湖区</w:t>
      </w:r>
      <w:r>
        <w:rPr>
          <w:rFonts w:hint="eastAsia" w:ascii="Times New Roman" w:hAnsi="宋体" w:eastAsia="宋体" w:cs="Times New Roman"/>
          <w:b/>
          <w:bCs/>
          <w:color w:val="auto"/>
          <w:kern w:val="0"/>
          <w:sz w:val="53"/>
          <w:szCs w:val="53"/>
          <w:lang w:val="en-US" w:eastAsia="zh-CN"/>
        </w:rPr>
        <w:t>审计局</w:t>
      </w:r>
      <w:r>
        <w:rPr>
          <w:rFonts w:ascii="Times New Roman" w:hAnsi="Times New Roman" w:eastAsia="宋体" w:cs="Times New Roman"/>
          <w:b/>
          <w:bCs/>
          <w:color w:val="333333"/>
          <w:kern w:val="0"/>
          <w:sz w:val="53"/>
          <w:szCs w:val="53"/>
        </w:rPr>
        <w:t>2024</w:t>
      </w:r>
      <w:r>
        <w:rPr>
          <w:rFonts w:ascii="Times New Roman" w:hAnsi="宋体" w:eastAsia="宋体" w:cs="Times New Roman"/>
          <w:b/>
          <w:bCs/>
          <w:color w:val="333333"/>
          <w:kern w:val="0"/>
          <w:sz w:val="53"/>
          <w:szCs w:val="53"/>
        </w:rPr>
        <w:t>年部门预算</w:t>
      </w:r>
    </w:p>
    <w:p w14:paraId="1A4D929C">
      <w:pPr>
        <w:widowControl/>
        <w:shd w:val="clear" w:color="auto" w:fill="FFFFFF"/>
        <w:jc w:val="center"/>
        <w:rPr>
          <w:rFonts w:ascii="Times New Roman" w:hAnsi="Times New Roman" w:eastAsia="微软雅黑" w:cs="Times New Roman"/>
          <w:color w:val="333333"/>
          <w:kern w:val="0"/>
          <w:sz w:val="24"/>
          <w:szCs w:val="24"/>
        </w:rPr>
      </w:pPr>
    </w:p>
    <w:p w14:paraId="1C0FF1AE">
      <w:pPr>
        <w:widowControl/>
        <w:shd w:val="clear" w:color="auto" w:fill="FFFFFF"/>
        <w:jc w:val="center"/>
        <w:rPr>
          <w:rFonts w:ascii="Times New Roman" w:hAnsi="Times New Roman" w:eastAsia="微软雅黑" w:cs="Times New Roman"/>
          <w:color w:val="333333"/>
          <w:kern w:val="0"/>
          <w:sz w:val="24"/>
          <w:szCs w:val="24"/>
        </w:rPr>
      </w:pPr>
    </w:p>
    <w:p w14:paraId="0496AF2C">
      <w:pPr>
        <w:widowControl/>
        <w:shd w:val="clear" w:color="auto" w:fill="FFFFFF"/>
        <w:jc w:val="center"/>
        <w:rPr>
          <w:rFonts w:ascii="Times New Roman" w:hAnsi="Times New Roman" w:eastAsia="微软雅黑" w:cs="Times New Roman"/>
          <w:color w:val="333333"/>
          <w:kern w:val="0"/>
          <w:sz w:val="24"/>
          <w:szCs w:val="24"/>
        </w:rPr>
      </w:pPr>
    </w:p>
    <w:p w14:paraId="2A749A51">
      <w:pPr>
        <w:widowControl/>
        <w:shd w:val="clear" w:color="auto" w:fill="FFFFFF"/>
        <w:jc w:val="center"/>
        <w:rPr>
          <w:rFonts w:ascii="Times New Roman" w:hAnsi="Times New Roman" w:eastAsia="微软雅黑" w:cs="Times New Roman"/>
          <w:color w:val="333333"/>
          <w:kern w:val="0"/>
          <w:sz w:val="24"/>
          <w:szCs w:val="24"/>
        </w:rPr>
      </w:pPr>
    </w:p>
    <w:p w14:paraId="0A85129D">
      <w:pPr>
        <w:widowControl/>
        <w:shd w:val="clear" w:color="auto" w:fill="FFFFFF"/>
        <w:jc w:val="center"/>
        <w:rPr>
          <w:rFonts w:ascii="Times New Roman" w:hAnsi="Times New Roman" w:eastAsia="微软雅黑" w:cs="Times New Roman"/>
          <w:color w:val="333333"/>
          <w:kern w:val="0"/>
          <w:sz w:val="24"/>
          <w:szCs w:val="24"/>
        </w:rPr>
      </w:pPr>
    </w:p>
    <w:p w14:paraId="4E7C0081">
      <w:pPr>
        <w:widowControl/>
        <w:shd w:val="clear" w:color="auto" w:fill="FFFFFF"/>
        <w:jc w:val="center"/>
        <w:rPr>
          <w:rFonts w:ascii="Times New Roman" w:hAnsi="Times New Roman" w:eastAsia="微软雅黑" w:cs="Times New Roman"/>
          <w:color w:val="333333"/>
          <w:kern w:val="0"/>
          <w:sz w:val="24"/>
          <w:szCs w:val="24"/>
        </w:rPr>
      </w:pPr>
    </w:p>
    <w:p w14:paraId="47299C14">
      <w:pPr>
        <w:widowControl/>
        <w:shd w:val="clear" w:color="auto" w:fill="FFFFFF"/>
        <w:jc w:val="center"/>
        <w:rPr>
          <w:rFonts w:ascii="Times New Roman" w:hAnsi="Times New Roman" w:eastAsia="微软雅黑" w:cs="Times New Roman"/>
          <w:color w:val="333333"/>
          <w:kern w:val="0"/>
          <w:sz w:val="24"/>
          <w:szCs w:val="24"/>
        </w:rPr>
      </w:pPr>
    </w:p>
    <w:p w14:paraId="44433BE4">
      <w:pPr>
        <w:widowControl/>
        <w:shd w:val="clear" w:color="auto" w:fill="FFFFFF"/>
        <w:jc w:val="center"/>
        <w:rPr>
          <w:rFonts w:ascii="Times New Roman" w:hAnsi="Times New Roman" w:eastAsia="微软雅黑" w:cs="Times New Roman"/>
          <w:color w:val="333333"/>
          <w:kern w:val="0"/>
          <w:sz w:val="24"/>
          <w:szCs w:val="24"/>
        </w:rPr>
      </w:pPr>
    </w:p>
    <w:p w14:paraId="2A382EBC">
      <w:pPr>
        <w:widowControl/>
        <w:shd w:val="clear" w:color="auto" w:fill="FFFFFF"/>
        <w:jc w:val="center"/>
        <w:rPr>
          <w:rFonts w:ascii="Times New Roman" w:hAnsi="Times New Roman" w:eastAsia="微软雅黑" w:cs="Times New Roman"/>
          <w:color w:val="333333"/>
          <w:kern w:val="0"/>
          <w:sz w:val="24"/>
          <w:szCs w:val="24"/>
        </w:rPr>
      </w:pPr>
    </w:p>
    <w:p w14:paraId="5305A175">
      <w:pPr>
        <w:widowControl/>
        <w:shd w:val="clear" w:color="auto" w:fill="FFFFFF"/>
        <w:jc w:val="center"/>
        <w:rPr>
          <w:rFonts w:ascii="Times New Roman" w:hAnsi="Times New Roman" w:eastAsia="微软雅黑" w:cs="Times New Roman"/>
          <w:color w:val="333333"/>
          <w:kern w:val="0"/>
          <w:sz w:val="24"/>
          <w:szCs w:val="24"/>
        </w:rPr>
      </w:pPr>
    </w:p>
    <w:p w14:paraId="521808B8">
      <w:pPr>
        <w:widowControl/>
        <w:shd w:val="clear" w:color="auto" w:fill="FFFFFF"/>
        <w:jc w:val="center"/>
        <w:rPr>
          <w:rFonts w:ascii="Times New Roman" w:hAnsi="Times New Roman" w:eastAsia="微软雅黑" w:cs="Times New Roman"/>
          <w:color w:val="333333"/>
          <w:kern w:val="0"/>
          <w:sz w:val="24"/>
          <w:szCs w:val="24"/>
        </w:rPr>
      </w:pPr>
    </w:p>
    <w:p w14:paraId="2E0ACE4A">
      <w:pPr>
        <w:widowControl/>
        <w:shd w:val="clear" w:color="auto" w:fill="FFFFFF"/>
        <w:jc w:val="center"/>
        <w:rPr>
          <w:rFonts w:ascii="Times New Roman" w:hAnsi="Times New Roman" w:eastAsia="微软雅黑" w:cs="Times New Roman"/>
          <w:color w:val="333333"/>
          <w:kern w:val="0"/>
          <w:sz w:val="24"/>
          <w:szCs w:val="24"/>
        </w:rPr>
      </w:pPr>
    </w:p>
    <w:p w14:paraId="5ABC3AA1">
      <w:pPr>
        <w:widowControl/>
        <w:shd w:val="clear" w:color="auto" w:fill="FFFFFF"/>
        <w:jc w:val="center"/>
        <w:rPr>
          <w:rFonts w:ascii="Times New Roman" w:hAnsi="Times New Roman" w:eastAsia="微软雅黑" w:cs="Times New Roman"/>
          <w:color w:val="333333"/>
          <w:kern w:val="0"/>
          <w:sz w:val="24"/>
          <w:szCs w:val="24"/>
        </w:rPr>
      </w:pPr>
    </w:p>
    <w:p w14:paraId="3DAA7120">
      <w:pPr>
        <w:widowControl/>
        <w:shd w:val="clear" w:color="auto" w:fill="FFFFFF"/>
        <w:jc w:val="center"/>
        <w:rPr>
          <w:rFonts w:ascii="Times New Roman" w:hAnsi="Times New Roman" w:eastAsia="微软雅黑" w:cs="Times New Roman"/>
          <w:color w:val="333333"/>
          <w:kern w:val="0"/>
          <w:sz w:val="24"/>
          <w:szCs w:val="24"/>
        </w:rPr>
      </w:pPr>
    </w:p>
    <w:p w14:paraId="64FFBB40">
      <w:pPr>
        <w:widowControl/>
        <w:shd w:val="clear" w:color="auto" w:fill="FFFFFF"/>
        <w:jc w:val="center"/>
        <w:rPr>
          <w:rFonts w:ascii="Times New Roman" w:hAnsi="Times New Roman" w:eastAsia="微软雅黑" w:cs="Times New Roman"/>
          <w:color w:val="333333"/>
          <w:kern w:val="0"/>
          <w:sz w:val="24"/>
          <w:szCs w:val="24"/>
        </w:rPr>
      </w:pPr>
    </w:p>
    <w:p w14:paraId="7C99BB62">
      <w:pPr>
        <w:widowControl/>
        <w:shd w:val="clear" w:color="auto" w:fill="FFFFFF"/>
        <w:jc w:val="center"/>
        <w:rPr>
          <w:rFonts w:ascii="Times New Roman" w:hAnsi="Times New Roman" w:eastAsia="微软雅黑" w:cs="Times New Roman"/>
          <w:color w:val="333333"/>
          <w:kern w:val="0"/>
          <w:sz w:val="24"/>
          <w:szCs w:val="24"/>
        </w:rPr>
      </w:pPr>
    </w:p>
    <w:p w14:paraId="01A2B8C2">
      <w:pPr>
        <w:widowControl/>
        <w:shd w:val="clear" w:color="auto" w:fill="FFFFFF"/>
        <w:jc w:val="center"/>
        <w:rPr>
          <w:rFonts w:ascii="Times New Roman" w:hAnsi="Times New Roman" w:eastAsia="微软雅黑" w:cs="Times New Roman"/>
          <w:color w:val="333333"/>
          <w:kern w:val="0"/>
          <w:sz w:val="24"/>
          <w:szCs w:val="24"/>
        </w:rPr>
      </w:pPr>
    </w:p>
    <w:p w14:paraId="20FA50BE">
      <w:pPr>
        <w:widowControl/>
        <w:shd w:val="clear" w:color="auto" w:fill="FFFFFF"/>
        <w:jc w:val="center"/>
        <w:rPr>
          <w:rFonts w:ascii="Times New Roman" w:hAnsi="Times New Roman" w:eastAsia="微软雅黑" w:cs="Times New Roman"/>
          <w:color w:val="333333"/>
          <w:kern w:val="0"/>
          <w:sz w:val="24"/>
          <w:szCs w:val="24"/>
        </w:rPr>
      </w:pPr>
    </w:p>
    <w:p w14:paraId="6C0BB1B7">
      <w:pPr>
        <w:widowControl/>
        <w:shd w:val="clear" w:color="auto" w:fill="FFFFFF"/>
        <w:rPr>
          <w:rFonts w:ascii="Times New Roman" w:hAnsi="Times New Roman" w:eastAsia="微软雅黑" w:cs="Times New Roman"/>
          <w:color w:val="333333"/>
          <w:kern w:val="0"/>
          <w:sz w:val="24"/>
          <w:szCs w:val="24"/>
        </w:rPr>
      </w:pPr>
    </w:p>
    <w:p w14:paraId="6BDC2C52">
      <w:pPr>
        <w:widowControl/>
        <w:shd w:val="clear" w:color="auto" w:fill="FFFFFF"/>
        <w:jc w:val="center"/>
        <w:rPr>
          <w:rFonts w:hint="eastAsia" w:ascii="Times New Roman" w:hAnsi="Times New Roman" w:eastAsia="宋体" w:cs="Times New Roman"/>
          <w:color w:val="auto"/>
          <w:kern w:val="0"/>
          <w:sz w:val="24"/>
          <w:szCs w:val="24"/>
          <w:lang w:eastAsia="zh-CN"/>
        </w:rPr>
      </w:pPr>
      <w:r>
        <w:rPr>
          <w:rFonts w:ascii="Times New Roman" w:hAnsi="宋体" w:eastAsia="宋体" w:cs="Times New Roman"/>
          <w:b/>
          <w:bCs/>
          <w:color w:val="auto"/>
          <w:kern w:val="0"/>
          <w:sz w:val="44"/>
          <w:szCs w:val="44"/>
        </w:rPr>
        <w:t>本溪市溪湖区</w:t>
      </w:r>
      <w:r>
        <w:rPr>
          <w:rFonts w:hint="eastAsia" w:ascii="Times New Roman" w:hAnsi="宋体" w:eastAsia="宋体" w:cs="Times New Roman"/>
          <w:b/>
          <w:bCs/>
          <w:color w:val="auto"/>
          <w:kern w:val="0"/>
          <w:sz w:val="44"/>
          <w:szCs w:val="44"/>
          <w:lang w:eastAsia="zh-CN"/>
        </w:rPr>
        <w:t>审计局</w:t>
      </w:r>
    </w:p>
    <w:p w14:paraId="6B5E63EB">
      <w:pPr>
        <w:widowControl/>
        <w:shd w:val="clear" w:color="auto" w:fill="FFFFFF"/>
        <w:jc w:val="center"/>
        <w:rPr>
          <w:rFonts w:ascii="Times New Roman" w:hAnsi="Times New Roman" w:eastAsia="微软雅黑" w:cs="Times New Roman"/>
          <w:color w:val="auto"/>
          <w:kern w:val="0"/>
          <w:sz w:val="24"/>
          <w:szCs w:val="24"/>
        </w:rPr>
      </w:pPr>
      <w:r>
        <w:rPr>
          <w:rFonts w:ascii="Times New Roman" w:hAnsi="宋体" w:eastAsia="宋体" w:cs="Times New Roman"/>
          <w:b/>
          <w:bCs/>
          <w:color w:val="auto"/>
          <w:kern w:val="0"/>
          <w:sz w:val="44"/>
          <w:szCs w:val="44"/>
        </w:rPr>
        <w:t>目录</w:t>
      </w:r>
    </w:p>
    <w:p w14:paraId="7CF35E84">
      <w:pPr>
        <w:widowControl/>
        <w:shd w:val="clear" w:color="auto" w:fill="FFFFFF"/>
        <w:spacing w:line="560" w:lineRule="exact"/>
        <w:jc w:val="left"/>
        <w:rPr>
          <w:rFonts w:ascii="Times New Roman" w:hAnsi="Times New Roman" w:eastAsia="微软雅黑" w:cs="Times New Roman"/>
          <w:color w:val="auto"/>
          <w:kern w:val="0"/>
          <w:sz w:val="24"/>
          <w:szCs w:val="24"/>
        </w:rPr>
      </w:pPr>
      <w:r>
        <w:rPr>
          <w:rFonts w:ascii="Times New Roman" w:hAnsi="黑体" w:eastAsia="黑体" w:cs="Times New Roman"/>
          <w:color w:val="auto"/>
          <w:kern w:val="0"/>
          <w:sz w:val="32"/>
          <w:szCs w:val="32"/>
        </w:rPr>
        <w:t>第一部分</w:t>
      </w:r>
      <w:r>
        <w:rPr>
          <w:rFonts w:ascii="Times New Roman" w:hAnsi="Times New Roman" w:eastAsia="黑体" w:cs="Times New Roman"/>
          <w:color w:val="auto"/>
          <w:kern w:val="0"/>
          <w:sz w:val="32"/>
          <w:szCs w:val="32"/>
        </w:rPr>
        <w:t xml:space="preserve"> </w:t>
      </w:r>
      <w:r>
        <w:rPr>
          <w:rFonts w:ascii="Times New Roman" w:hAnsi="黑体" w:eastAsia="黑体" w:cs="Times New Roman"/>
          <w:color w:val="auto"/>
          <w:kern w:val="0"/>
          <w:sz w:val="32"/>
          <w:szCs w:val="32"/>
        </w:rPr>
        <w:t>部门预算公开管理文件</w:t>
      </w:r>
    </w:p>
    <w:p w14:paraId="73BDE17B">
      <w:pPr>
        <w:widowControl/>
        <w:shd w:val="clear" w:color="auto" w:fill="FFFFFF"/>
        <w:spacing w:line="560" w:lineRule="exact"/>
        <w:jc w:val="left"/>
        <w:rPr>
          <w:rFonts w:ascii="Times New Roman" w:hAnsi="Times New Roman" w:eastAsia="微软雅黑" w:cs="Times New Roman"/>
          <w:color w:val="auto"/>
          <w:kern w:val="0"/>
          <w:sz w:val="24"/>
          <w:szCs w:val="24"/>
        </w:rPr>
      </w:pPr>
      <w:r>
        <w:rPr>
          <w:rFonts w:ascii="Times New Roman" w:hAnsi="黑体" w:eastAsia="黑体" w:cs="Times New Roman"/>
          <w:color w:val="auto"/>
          <w:kern w:val="0"/>
          <w:sz w:val="32"/>
          <w:szCs w:val="32"/>
        </w:rPr>
        <w:t>第二部分</w:t>
      </w:r>
      <w:r>
        <w:rPr>
          <w:rFonts w:ascii="Times New Roman" w:hAnsi="Times New Roman" w:eastAsia="黑体" w:cs="Times New Roman"/>
          <w:color w:val="auto"/>
          <w:kern w:val="0"/>
          <w:sz w:val="32"/>
          <w:szCs w:val="32"/>
        </w:rPr>
        <w:t xml:space="preserve"> </w:t>
      </w:r>
      <w:r>
        <w:rPr>
          <w:rFonts w:ascii="Times New Roman" w:hAnsi="黑体" w:eastAsia="黑体" w:cs="Times New Roman"/>
          <w:color w:val="auto"/>
          <w:kern w:val="0"/>
          <w:sz w:val="32"/>
          <w:szCs w:val="32"/>
        </w:rPr>
        <w:t>本溪市溪湖区</w:t>
      </w:r>
      <w:r>
        <w:rPr>
          <w:rFonts w:hint="eastAsia" w:ascii="Times New Roman" w:hAnsi="黑体" w:eastAsia="黑体" w:cs="Times New Roman"/>
          <w:color w:val="auto"/>
          <w:kern w:val="0"/>
          <w:sz w:val="32"/>
          <w:szCs w:val="32"/>
          <w:lang w:eastAsia="zh-CN"/>
        </w:rPr>
        <w:t>审计局</w:t>
      </w:r>
      <w:r>
        <w:rPr>
          <w:rFonts w:ascii="Times New Roman" w:hAnsi="黑体" w:eastAsia="黑体" w:cs="Times New Roman"/>
          <w:color w:val="auto"/>
          <w:kern w:val="0"/>
          <w:sz w:val="32"/>
          <w:szCs w:val="32"/>
        </w:rPr>
        <w:t>概况</w:t>
      </w:r>
    </w:p>
    <w:p w14:paraId="7C99695B">
      <w:pPr>
        <w:widowControl/>
        <w:shd w:val="clear" w:color="auto" w:fill="FFFFFF"/>
        <w:spacing w:line="560" w:lineRule="exact"/>
        <w:jc w:val="left"/>
        <w:rPr>
          <w:rFonts w:ascii="Times New Roman" w:hAnsi="Times New Roman" w:eastAsia="微软雅黑" w:cs="Times New Roman"/>
          <w:color w:val="auto"/>
          <w:kern w:val="0"/>
          <w:sz w:val="24"/>
          <w:szCs w:val="24"/>
        </w:rPr>
      </w:pPr>
      <w:r>
        <w:rPr>
          <w:rFonts w:ascii="Times New Roman" w:hAnsi="黑体" w:eastAsia="黑体" w:cs="Times New Roman"/>
          <w:color w:val="auto"/>
          <w:kern w:val="0"/>
          <w:sz w:val="32"/>
          <w:szCs w:val="32"/>
        </w:rPr>
        <w:t>第三部分</w:t>
      </w:r>
      <w:r>
        <w:rPr>
          <w:rFonts w:ascii="Times New Roman" w:hAnsi="Times New Roman" w:eastAsia="黑体" w:cs="Times New Roman"/>
          <w:color w:val="auto"/>
          <w:kern w:val="0"/>
          <w:sz w:val="32"/>
          <w:szCs w:val="32"/>
        </w:rPr>
        <w:t xml:space="preserve"> </w:t>
      </w:r>
      <w:r>
        <w:rPr>
          <w:rFonts w:ascii="Times New Roman" w:hAnsi="黑体" w:eastAsia="黑体" w:cs="Times New Roman"/>
          <w:color w:val="auto"/>
          <w:kern w:val="0"/>
          <w:sz w:val="32"/>
          <w:szCs w:val="32"/>
        </w:rPr>
        <w:t>本溪市溪湖区</w:t>
      </w:r>
      <w:r>
        <w:rPr>
          <w:rFonts w:hint="eastAsia" w:ascii="Times New Roman" w:hAnsi="黑体" w:eastAsia="黑体" w:cs="Times New Roman"/>
          <w:color w:val="auto"/>
          <w:kern w:val="0"/>
          <w:sz w:val="32"/>
          <w:szCs w:val="32"/>
          <w:lang w:eastAsia="zh-CN"/>
        </w:rPr>
        <w:t>审计局</w:t>
      </w:r>
      <w:r>
        <w:rPr>
          <w:rFonts w:ascii="Times New Roman" w:hAnsi="Times New Roman" w:eastAsia="黑体" w:cs="Times New Roman"/>
          <w:color w:val="auto"/>
          <w:kern w:val="0"/>
          <w:sz w:val="32"/>
          <w:szCs w:val="32"/>
        </w:rPr>
        <w:t>2024</w:t>
      </w:r>
      <w:r>
        <w:rPr>
          <w:rFonts w:ascii="Times New Roman" w:hAnsi="黑体" w:eastAsia="黑体" w:cs="Times New Roman"/>
          <w:color w:val="auto"/>
          <w:kern w:val="0"/>
          <w:sz w:val="32"/>
          <w:szCs w:val="32"/>
        </w:rPr>
        <w:t>年部门预算情况说明</w:t>
      </w:r>
    </w:p>
    <w:p w14:paraId="24DAFD97">
      <w:pPr>
        <w:widowControl/>
        <w:shd w:val="clear" w:color="auto" w:fill="FFFFFF"/>
        <w:spacing w:line="560" w:lineRule="exact"/>
        <w:jc w:val="left"/>
        <w:rPr>
          <w:rFonts w:ascii="Times New Roman" w:hAnsi="Times New Roman" w:eastAsia="微软雅黑" w:cs="Times New Roman"/>
          <w:color w:val="auto"/>
          <w:kern w:val="0"/>
          <w:sz w:val="24"/>
          <w:szCs w:val="24"/>
        </w:rPr>
      </w:pPr>
      <w:r>
        <w:rPr>
          <w:rFonts w:ascii="Times New Roman" w:hAnsi="黑体" w:eastAsia="黑体" w:cs="Times New Roman"/>
          <w:color w:val="auto"/>
          <w:kern w:val="0"/>
          <w:sz w:val="32"/>
          <w:szCs w:val="32"/>
        </w:rPr>
        <w:t>第四部分</w:t>
      </w:r>
      <w:r>
        <w:rPr>
          <w:rFonts w:ascii="Times New Roman" w:hAnsi="Times New Roman" w:eastAsia="黑体" w:cs="Times New Roman"/>
          <w:color w:val="auto"/>
          <w:kern w:val="0"/>
          <w:sz w:val="32"/>
          <w:szCs w:val="32"/>
        </w:rPr>
        <w:t xml:space="preserve"> </w:t>
      </w:r>
      <w:r>
        <w:rPr>
          <w:rFonts w:ascii="Times New Roman" w:hAnsi="黑体" w:eastAsia="黑体" w:cs="Times New Roman"/>
          <w:color w:val="auto"/>
          <w:kern w:val="0"/>
          <w:sz w:val="32"/>
          <w:szCs w:val="32"/>
        </w:rPr>
        <w:t>名词解释</w:t>
      </w:r>
    </w:p>
    <w:p w14:paraId="72685C5A">
      <w:pPr>
        <w:widowControl/>
        <w:shd w:val="clear" w:color="auto" w:fill="FFFFFF"/>
        <w:spacing w:line="560" w:lineRule="exact"/>
        <w:jc w:val="left"/>
        <w:rPr>
          <w:rFonts w:ascii="Times New Roman" w:hAnsi="Times New Roman" w:eastAsia="黑体" w:cs="Times New Roman"/>
          <w:color w:val="auto"/>
          <w:kern w:val="0"/>
          <w:sz w:val="32"/>
          <w:szCs w:val="32"/>
        </w:rPr>
      </w:pPr>
      <w:r>
        <w:rPr>
          <w:rFonts w:ascii="Times New Roman" w:hAnsi="黑体" w:eastAsia="黑体" w:cs="Times New Roman"/>
          <w:color w:val="auto"/>
          <w:kern w:val="0"/>
          <w:sz w:val="32"/>
          <w:szCs w:val="32"/>
        </w:rPr>
        <w:t>第五部分</w:t>
      </w:r>
      <w:r>
        <w:rPr>
          <w:rFonts w:ascii="Times New Roman" w:hAnsi="Times New Roman" w:eastAsia="黑体" w:cs="Times New Roman"/>
          <w:color w:val="auto"/>
          <w:kern w:val="0"/>
          <w:sz w:val="32"/>
          <w:szCs w:val="32"/>
        </w:rPr>
        <w:t xml:space="preserve"> 2024</w:t>
      </w:r>
      <w:r>
        <w:rPr>
          <w:rFonts w:ascii="Times New Roman" w:hAnsi="黑体" w:eastAsia="黑体" w:cs="Times New Roman"/>
          <w:color w:val="auto"/>
          <w:kern w:val="0"/>
          <w:sz w:val="32"/>
          <w:szCs w:val="32"/>
        </w:rPr>
        <w:t>年本溪市溪湖区部门预算批复公开表</w:t>
      </w:r>
    </w:p>
    <w:p w14:paraId="286A4D92">
      <w:pPr>
        <w:widowControl/>
        <w:shd w:val="clear" w:color="auto" w:fill="FFFFFF"/>
        <w:spacing w:line="560" w:lineRule="exact"/>
        <w:jc w:val="left"/>
        <w:rPr>
          <w:rFonts w:ascii="Times New Roman" w:hAnsi="Times New Roman" w:eastAsia="黑体" w:cs="Times New Roman"/>
          <w:color w:val="auto"/>
          <w:kern w:val="0"/>
          <w:sz w:val="32"/>
          <w:szCs w:val="32"/>
        </w:rPr>
      </w:pPr>
    </w:p>
    <w:p w14:paraId="1D43D1C0">
      <w:pPr>
        <w:widowControl/>
        <w:shd w:val="clear" w:color="auto" w:fill="FFFFFF"/>
        <w:spacing w:line="560" w:lineRule="exact"/>
        <w:jc w:val="left"/>
        <w:rPr>
          <w:rFonts w:ascii="Times New Roman" w:hAnsi="Times New Roman" w:eastAsia="黑体" w:cs="Times New Roman"/>
          <w:color w:val="auto"/>
          <w:kern w:val="0"/>
          <w:sz w:val="32"/>
          <w:szCs w:val="32"/>
        </w:rPr>
      </w:pPr>
    </w:p>
    <w:p w14:paraId="3AECCB38">
      <w:pPr>
        <w:widowControl/>
        <w:shd w:val="clear" w:color="auto" w:fill="FFFFFF"/>
        <w:spacing w:line="560" w:lineRule="exact"/>
        <w:jc w:val="left"/>
        <w:rPr>
          <w:rFonts w:ascii="Times New Roman" w:hAnsi="Times New Roman" w:eastAsia="黑体" w:cs="Times New Roman"/>
          <w:color w:val="auto"/>
          <w:kern w:val="0"/>
          <w:sz w:val="32"/>
          <w:szCs w:val="32"/>
        </w:rPr>
      </w:pPr>
    </w:p>
    <w:p w14:paraId="5F1115FC">
      <w:pPr>
        <w:widowControl/>
        <w:shd w:val="clear" w:color="auto" w:fill="FFFFFF"/>
        <w:spacing w:line="560" w:lineRule="exact"/>
        <w:jc w:val="left"/>
        <w:rPr>
          <w:rFonts w:ascii="Times New Roman" w:hAnsi="Times New Roman" w:eastAsia="黑体" w:cs="Times New Roman"/>
          <w:color w:val="auto"/>
          <w:kern w:val="0"/>
          <w:sz w:val="32"/>
          <w:szCs w:val="32"/>
        </w:rPr>
      </w:pPr>
    </w:p>
    <w:p w14:paraId="77663528">
      <w:pPr>
        <w:widowControl/>
        <w:shd w:val="clear" w:color="auto" w:fill="FFFFFF"/>
        <w:spacing w:line="560" w:lineRule="exact"/>
        <w:jc w:val="left"/>
        <w:rPr>
          <w:rFonts w:ascii="Times New Roman" w:hAnsi="Times New Roman" w:eastAsia="黑体" w:cs="Times New Roman"/>
          <w:color w:val="auto"/>
          <w:kern w:val="0"/>
          <w:sz w:val="32"/>
          <w:szCs w:val="32"/>
        </w:rPr>
      </w:pPr>
    </w:p>
    <w:p w14:paraId="69389165">
      <w:pPr>
        <w:widowControl/>
        <w:shd w:val="clear" w:color="auto" w:fill="FFFFFF"/>
        <w:spacing w:line="560" w:lineRule="exact"/>
        <w:jc w:val="left"/>
        <w:rPr>
          <w:rFonts w:ascii="Times New Roman" w:hAnsi="Times New Roman" w:eastAsia="黑体" w:cs="Times New Roman"/>
          <w:color w:val="auto"/>
          <w:kern w:val="0"/>
          <w:sz w:val="32"/>
          <w:szCs w:val="32"/>
        </w:rPr>
      </w:pPr>
    </w:p>
    <w:p w14:paraId="05B57FD2">
      <w:pPr>
        <w:widowControl/>
        <w:shd w:val="clear" w:color="auto" w:fill="FFFFFF"/>
        <w:spacing w:line="560" w:lineRule="exact"/>
        <w:jc w:val="left"/>
        <w:rPr>
          <w:rFonts w:ascii="Times New Roman" w:hAnsi="Times New Roman" w:eastAsia="黑体" w:cs="Times New Roman"/>
          <w:color w:val="auto"/>
          <w:kern w:val="0"/>
          <w:sz w:val="32"/>
          <w:szCs w:val="32"/>
        </w:rPr>
      </w:pPr>
    </w:p>
    <w:p w14:paraId="691C00EA">
      <w:pPr>
        <w:widowControl/>
        <w:shd w:val="clear" w:color="auto" w:fill="FFFFFF"/>
        <w:spacing w:line="560" w:lineRule="exact"/>
        <w:jc w:val="left"/>
        <w:rPr>
          <w:rFonts w:ascii="Times New Roman" w:hAnsi="Times New Roman" w:eastAsia="黑体" w:cs="Times New Roman"/>
          <w:color w:val="auto"/>
          <w:kern w:val="0"/>
          <w:sz w:val="32"/>
          <w:szCs w:val="32"/>
        </w:rPr>
      </w:pPr>
    </w:p>
    <w:p w14:paraId="6F95E98A">
      <w:pPr>
        <w:widowControl/>
        <w:shd w:val="clear" w:color="auto" w:fill="FFFFFF"/>
        <w:spacing w:line="560" w:lineRule="exact"/>
        <w:jc w:val="left"/>
        <w:rPr>
          <w:rFonts w:ascii="Times New Roman" w:hAnsi="Times New Roman" w:eastAsia="黑体" w:cs="Times New Roman"/>
          <w:color w:val="auto"/>
          <w:kern w:val="0"/>
          <w:sz w:val="32"/>
          <w:szCs w:val="32"/>
        </w:rPr>
      </w:pPr>
    </w:p>
    <w:p w14:paraId="2C94FF79">
      <w:pPr>
        <w:widowControl/>
        <w:shd w:val="clear" w:color="auto" w:fill="FFFFFF"/>
        <w:spacing w:line="560" w:lineRule="exact"/>
        <w:jc w:val="left"/>
        <w:rPr>
          <w:rFonts w:ascii="Times New Roman" w:hAnsi="Times New Roman" w:eastAsia="黑体" w:cs="Times New Roman"/>
          <w:color w:val="auto"/>
          <w:kern w:val="0"/>
          <w:sz w:val="32"/>
          <w:szCs w:val="32"/>
        </w:rPr>
      </w:pPr>
    </w:p>
    <w:p w14:paraId="71522A4D">
      <w:pPr>
        <w:widowControl/>
        <w:shd w:val="clear" w:color="auto" w:fill="FFFFFF"/>
        <w:spacing w:line="560" w:lineRule="exact"/>
        <w:jc w:val="left"/>
        <w:rPr>
          <w:rFonts w:ascii="Times New Roman" w:hAnsi="Times New Roman" w:eastAsia="黑体" w:cs="Times New Roman"/>
          <w:color w:val="auto"/>
          <w:kern w:val="0"/>
          <w:sz w:val="32"/>
          <w:szCs w:val="32"/>
        </w:rPr>
      </w:pPr>
    </w:p>
    <w:p w14:paraId="57AAEE5D">
      <w:pPr>
        <w:widowControl/>
        <w:shd w:val="clear" w:color="auto" w:fill="FFFFFF"/>
        <w:spacing w:line="560" w:lineRule="exact"/>
        <w:jc w:val="left"/>
        <w:rPr>
          <w:rFonts w:ascii="Times New Roman" w:hAnsi="Times New Roman" w:eastAsia="黑体" w:cs="Times New Roman"/>
          <w:color w:val="auto"/>
          <w:kern w:val="0"/>
          <w:sz w:val="32"/>
          <w:szCs w:val="32"/>
        </w:rPr>
      </w:pPr>
    </w:p>
    <w:p w14:paraId="38773167">
      <w:pPr>
        <w:widowControl/>
        <w:shd w:val="clear" w:color="auto" w:fill="FFFFFF"/>
        <w:spacing w:line="560" w:lineRule="exact"/>
        <w:jc w:val="left"/>
        <w:rPr>
          <w:rFonts w:ascii="Times New Roman" w:hAnsi="Times New Roman" w:eastAsia="黑体" w:cs="Times New Roman"/>
          <w:color w:val="auto"/>
          <w:kern w:val="0"/>
          <w:sz w:val="32"/>
          <w:szCs w:val="32"/>
        </w:rPr>
      </w:pPr>
    </w:p>
    <w:p w14:paraId="060D200A">
      <w:pPr>
        <w:widowControl/>
        <w:shd w:val="clear" w:color="auto" w:fill="FFFFFF"/>
        <w:spacing w:line="560" w:lineRule="exact"/>
        <w:jc w:val="left"/>
        <w:rPr>
          <w:rFonts w:ascii="Times New Roman" w:hAnsi="Times New Roman" w:eastAsia="黑体" w:cs="Times New Roman"/>
          <w:color w:val="auto"/>
          <w:kern w:val="0"/>
          <w:sz w:val="32"/>
          <w:szCs w:val="32"/>
        </w:rPr>
      </w:pPr>
    </w:p>
    <w:p w14:paraId="0300130D">
      <w:pPr>
        <w:widowControl/>
        <w:shd w:val="clear" w:color="auto" w:fill="FFFFFF"/>
        <w:spacing w:line="560" w:lineRule="exact"/>
        <w:jc w:val="left"/>
        <w:rPr>
          <w:rFonts w:ascii="Times New Roman" w:hAnsi="Times New Roman" w:eastAsia="微软雅黑" w:cs="Times New Roman"/>
          <w:color w:val="auto"/>
          <w:kern w:val="0"/>
          <w:sz w:val="24"/>
          <w:szCs w:val="24"/>
        </w:rPr>
        <w:sectPr>
          <w:footerReference r:id="rId3" w:type="default"/>
          <w:pgSz w:w="11906" w:h="16838"/>
          <w:pgMar w:top="1440" w:right="1800" w:bottom="1440" w:left="1800" w:header="851" w:footer="992" w:gutter="0"/>
          <w:cols w:space="425" w:num="1"/>
          <w:docGrid w:type="lines" w:linePitch="312" w:charSpace="0"/>
        </w:sectPr>
      </w:pPr>
    </w:p>
    <w:p w14:paraId="2E2B7D9C">
      <w:pPr>
        <w:keepLines/>
        <w:widowControl/>
        <w:shd w:val="clear" w:color="auto" w:fill="FFFFFF"/>
        <w:jc w:val="center"/>
        <w:rPr>
          <w:rFonts w:ascii="Times New Roman" w:hAnsi="Times New Roman" w:eastAsia="微软雅黑" w:cs="Times New Roman"/>
          <w:color w:val="auto"/>
          <w:kern w:val="0"/>
          <w:sz w:val="24"/>
          <w:szCs w:val="24"/>
        </w:rPr>
      </w:pPr>
      <w:r>
        <w:rPr>
          <w:rFonts w:ascii="Times New Roman" w:hAnsi="宋体" w:eastAsia="宋体" w:cs="Times New Roman"/>
          <w:b/>
          <w:bCs/>
          <w:color w:val="auto"/>
          <w:kern w:val="0"/>
          <w:sz w:val="36"/>
          <w:szCs w:val="36"/>
        </w:rPr>
        <w:t>第一部分</w:t>
      </w:r>
      <w:r>
        <w:rPr>
          <w:rFonts w:ascii="Times New Roman" w:hAnsi="Times New Roman" w:eastAsia="宋体" w:cs="Times New Roman"/>
          <w:b/>
          <w:bCs/>
          <w:color w:val="auto"/>
          <w:kern w:val="0"/>
          <w:sz w:val="36"/>
          <w:szCs w:val="36"/>
        </w:rPr>
        <w:t xml:space="preserve"> </w:t>
      </w:r>
      <w:r>
        <w:rPr>
          <w:rFonts w:ascii="Times New Roman" w:hAnsi="宋体" w:eastAsia="宋体" w:cs="Times New Roman"/>
          <w:b/>
          <w:bCs/>
          <w:color w:val="auto"/>
          <w:kern w:val="0"/>
          <w:sz w:val="36"/>
          <w:szCs w:val="36"/>
        </w:rPr>
        <w:t>部门预算公开管理文件</w:t>
      </w:r>
    </w:p>
    <w:p w14:paraId="15DD1E2B">
      <w:pPr>
        <w:keepLines/>
        <w:widowControl/>
        <w:shd w:val="clear" w:color="auto" w:fill="FFFFFF"/>
        <w:spacing w:line="480" w:lineRule="atLeast"/>
        <w:ind w:firstLine="645"/>
        <w:jc w:val="left"/>
        <w:rPr>
          <w:rFonts w:ascii="Times New Roman" w:hAnsi="Times New Roman" w:eastAsia="微软雅黑" w:cs="Times New Roman"/>
          <w:color w:val="auto"/>
          <w:kern w:val="0"/>
          <w:sz w:val="24"/>
          <w:szCs w:val="24"/>
        </w:rPr>
      </w:pPr>
    </w:p>
    <w:p w14:paraId="30417892">
      <w:pPr>
        <w:keepLines/>
        <w:widowControl/>
        <w:shd w:val="clear" w:color="auto" w:fill="FFFFFF"/>
        <w:spacing w:line="480" w:lineRule="atLeast"/>
        <w:ind w:firstLine="645"/>
        <w:jc w:val="left"/>
        <w:rPr>
          <w:rFonts w:ascii="Times New Roman" w:hAnsi="Times New Roman" w:eastAsia="微软雅黑" w:cs="Times New Roman"/>
          <w:color w:val="auto"/>
          <w:kern w:val="0"/>
          <w:sz w:val="24"/>
          <w:szCs w:val="24"/>
        </w:rPr>
      </w:pPr>
      <w:r>
        <w:rPr>
          <w:rFonts w:ascii="Times New Roman" w:hAnsi="Times New Roman" w:eastAsia="仿宋_GB2312" w:cs="Times New Roman"/>
          <w:color w:val="auto"/>
          <w:kern w:val="0"/>
          <w:sz w:val="32"/>
          <w:szCs w:val="32"/>
        </w:rPr>
        <w:t>《关于印发&lt;本溪市财政局部门预决算信息公开管理办法（试行）&gt;的通知》(本财发〔2020〕36号)、本溪市财政局部门预决算信息公开管理办法（试行）</w:t>
      </w:r>
    </w:p>
    <w:p w14:paraId="09BF8E4B">
      <w:pPr>
        <w:keepLines/>
        <w:widowControl/>
        <w:shd w:val="clear" w:color="auto" w:fill="FFFFFF"/>
        <w:spacing w:line="480" w:lineRule="atLeast"/>
        <w:ind w:firstLine="645"/>
        <w:jc w:val="left"/>
        <w:rPr>
          <w:rFonts w:ascii="Times New Roman" w:hAnsi="Times New Roman" w:eastAsia="微软雅黑" w:cs="Times New Roman"/>
          <w:color w:val="auto"/>
          <w:kern w:val="0"/>
          <w:sz w:val="24"/>
          <w:szCs w:val="24"/>
        </w:rPr>
      </w:pPr>
      <w:r>
        <w:rPr>
          <w:rFonts w:ascii="Times New Roman" w:hAnsi="Times New Roman" w:eastAsia="仿宋_GB2312" w:cs="Times New Roman"/>
          <w:color w:val="auto"/>
          <w:kern w:val="0"/>
          <w:sz w:val="32"/>
          <w:szCs w:val="32"/>
        </w:rPr>
        <w:t>第一条为推进和规范预决算信息公开工作，强化社会监督，促进依法理财，建立透明预算制度，根据《中华人民共和国预算法》和《中华人民共和国政府信息公开条例》等有关规定，结合我单位实际，制定本办法。</w:t>
      </w:r>
    </w:p>
    <w:p w14:paraId="5ECE3A10">
      <w:pPr>
        <w:keepLines/>
        <w:widowControl/>
        <w:shd w:val="clear" w:color="auto" w:fill="FFFFFF"/>
        <w:spacing w:line="480" w:lineRule="atLeast"/>
        <w:ind w:firstLine="645"/>
        <w:jc w:val="left"/>
        <w:rPr>
          <w:rFonts w:ascii="Times New Roman" w:hAnsi="Times New Roman" w:eastAsia="微软雅黑" w:cs="Times New Roman"/>
          <w:color w:val="auto"/>
          <w:kern w:val="0"/>
          <w:sz w:val="24"/>
          <w:szCs w:val="24"/>
        </w:rPr>
      </w:pPr>
      <w:r>
        <w:rPr>
          <w:rFonts w:ascii="Times New Roman" w:hAnsi="Times New Roman" w:eastAsia="仿宋_GB2312" w:cs="Times New Roman"/>
          <w:color w:val="auto"/>
          <w:kern w:val="0"/>
          <w:sz w:val="32"/>
          <w:szCs w:val="32"/>
        </w:rPr>
        <w:t>第二条本办法适用于本溪市溪湖区</w:t>
      </w:r>
      <w:r>
        <w:rPr>
          <w:rFonts w:hint="eastAsia" w:ascii="Times New Roman" w:hAnsi="Times New Roman" w:eastAsia="仿宋_GB2312" w:cs="Times New Roman"/>
          <w:color w:val="auto"/>
          <w:kern w:val="0"/>
          <w:sz w:val="32"/>
          <w:szCs w:val="32"/>
          <w:lang w:eastAsia="zh-CN"/>
        </w:rPr>
        <w:t>审计局</w:t>
      </w:r>
      <w:r>
        <w:rPr>
          <w:rFonts w:ascii="Times New Roman" w:hAnsi="Times New Roman" w:eastAsia="仿宋_GB2312" w:cs="Times New Roman"/>
          <w:color w:val="auto"/>
          <w:kern w:val="0"/>
          <w:sz w:val="32"/>
          <w:szCs w:val="32"/>
        </w:rPr>
        <w:t>部门预决算信息公开管理。</w:t>
      </w:r>
    </w:p>
    <w:p w14:paraId="37F82ED0">
      <w:pPr>
        <w:keepLines/>
        <w:widowControl/>
        <w:shd w:val="clear" w:color="auto" w:fill="FFFFFF"/>
        <w:spacing w:line="480" w:lineRule="atLeast"/>
        <w:ind w:firstLine="645"/>
        <w:jc w:val="left"/>
        <w:rPr>
          <w:rFonts w:ascii="Times New Roman" w:hAnsi="Times New Roman" w:eastAsia="微软雅黑" w:cs="Times New Roman"/>
          <w:color w:val="auto"/>
          <w:kern w:val="0"/>
          <w:sz w:val="24"/>
          <w:szCs w:val="24"/>
        </w:rPr>
      </w:pPr>
      <w:r>
        <w:rPr>
          <w:rFonts w:ascii="Times New Roman" w:hAnsi="Times New Roman" w:eastAsia="仿宋_GB2312" w:cs="Times New Roman"/>
          <w:color w:val="auto"/>
          <w:kern w:val="0"/>
          <w:sz w:val="32"/>
          <w:szCs w:val="32"/>
        </w:rPr>
        <w:t>第三条本办法所称部门预决算信息包括预算收支安排、预算执行、决算数据等。</w:t>
      </w:r>
    </w:p>
    <w:p w14:paraId="2854A4B8">
      <w:pPr>
        <w:keepLines/>
        <w:widowControl/>
        <w:shd w:val="clear" w:color="auto" w:fill="FFFFFF"/>
        <w:spacing w:line="480" w:lineRule="atLeast"/>
        <w:ind w:firstLine="645"/>
        <w:jc w:val="left"/>
        <w:rPr>
          <w:rFonts w:ascii="Times New Roman" w:hAnsi="Times New Roman" w:eastAsia="微软雅黑" w:cs="Times New Roman"/>
          <w:color w:val="auto"/>
          <w:kern w:val="0"/>
          <w:sz w:val="24"/>
          <w:szCs w:val="24"/>
        </w:rPr>
      </w:pPr>
      <w:r>
        <w:rPr>
          <w:rFonts w:ascii="Times New Roman" w:hAnsi="Times New Roman" w:eastAsia="仿宋_GB2312" w:cs="Times New Roman"/>
          <w:color w:val="auto"/>
          <w:kern w:val="0"/>
          <w:sz w:val="32"/>
          <w:szCs w:val="32"/>
        </w:rPr>
        <w:t>第四条预决算信息公开的原则：以公开为常态，不公开为例外，依法依规公开预决算。除涉及国家秘密外，不得少公开、不公开应当公开的事项，确保预决算信息公开及时、准确和完整。</w:t>
      </w:r>
    </w:p>
    <w:p w14:paraId="5F6ABF4F">
      <w:pPr>
        <w:keepLines/>
        <w:widowControl/>
        <w:shd w:val="clear" w:color="auto" w:fill="FFFFFF"/>
        <w:spacing w:line="480" w:lineRule="atLeast"/>
        <w:ind w:firstLine="645"/>
        <w:jc w:val="left"/>
        <w:rPr>
          <w:rFonts w:ascii="Times New Roman" w:hAnsi="Times New Roman" w:eastAsia="微软雅黑" w:cs="Times New Roman"/>
          <w:color w:val="auto"/>
          <w:kern w:val="0"/>
          <w:sz w:val="24"/>
          <w:szCs w:val="24"/>
        </w:rPr>
      </w:pPr>
      <w:r>
        <w:rPr>
          <w:rFonts w:ascii="Times New Roman" w:hAnsi="Times New Roman" w:eastAsia="仿宋_GB2312" w:cs="Times New Roman"/>
          <w:color w:val="auto"/>
          <w:kern w:val="0"/>
          <w:sz w:val="32"/>
          <w:szCs w:val="32"/>
        </w:rPr>
        <w:t>第五条财务核算部负责我单位部门预决算信息公开工作，履行下列职责：</w:t>
      </w:r>
    </w:p>
    <w:p w14:paraId="580E5461">
      <w:pPr>
        <w:keepLines/>
        <w:widowControl/>
        <w:shd w:val="clear" w:color="auto" w:fill="FFFFFF"/>
        <w:spacing w:line="480" w:lineRule="atLeast"/>
        <w:ind w:firstLine="645"/>
        <w:jc w:val="left"/>
        <w:rPr>
          <w:rFonts w:ascii="Times New Roman" w:hAnsi="Times New Roman" w:eastAsia="微软雅黑" w:cs="Times New Roman"/>
          <w:color w:val="auto"/>
          <w:kern w:val="0"/>
          <w:sz w:val="24"/>
          <w:szCs w:val="24"/>
        </w:rPr>
      </w:pPr>
      <w:r>
        <w:rPr>
          <w:rFonts w:ascii="Times New Roman" w:hAnsi="Times New Roman" w:eastAsia="仿宋_GB2312" w:cs="Times New Roman"/>
          <w:color w:val="auto"/>
          <w:kern w:val="0"/>
          <w:sz w:val="32"/>
          <w:szCs w:val="32"/>
        </w:rPr>
        <w:t>（一）制定我单位部门预决算信息公开的工作方案；</w:t>
      </w:r>
    </w:p>
    <w:p w14:paraId="11F9D66F">
      <w:pPr>
        <w:keepLines/>
        <w:widowControl/>
        <w:shd w:val="clear" w:color="auto" w:fill="FFFFFF"/>
        <w:spacing w:line="480" w:lineRule="atLeast"/>
        <w:ind w:firstLine="645"/>
        <w:jc w:val="left"/>
        <w:rPr>
          <w:rFonts w:ascii="Times New Roman" w:hAnsi="Times New Roman" w:eastAsia="微软雅黑" w:cs="Times New Roman"/>
          <w:color w:val="auto"/>
          <w:kern w:val="0"/>
          <w:sz w:val="24"/>
          <w:szCs w:val="24"/>
        </w:rPr>
      </w:pPr>
      <w:r>
        <w:rPr>
          <w:rFonts w:ascii="Times New Roman" w:hAnsi="Times New Roman" w:eastAsia="仿宋_GB2312" w:cs="Times New Roman"/>
          <w:color w:val="auto"/>
          <w:kern w:val="0"/>
          <w:sz w:val="32"/>
          <w:szCs w:val="32"/>
        </w:rPr>
        <w:t>（二）按规定公开我单位部门预决算信息；</w:t>
      </w:r>
    </w:p>
    <w:p w14:paraId="2B9FC67D">
      <w:pPr>
        <w:keepLines/>
        <w:widowControl/>
        <w:shd w:val="clear" w:color="auto" w:fill="FFFFFF"/>
        <w:spacing w:line="480" w:lineRule="atLeast"/>
        <w:ind w:firstLine="645"/>
        <w:jc w:val="left"/>
        <w:rPr>
          <w:rFonts w:ascii="Times New Roman" w:hAnsi="Times New Roman" w:eastAsia="微软雅黑" w:cs="Times New Roman"/>
          <w:color w:val="auto"/>
          <w:kern w:val="0"/>
          <w:sz w:val="24"/>
          <w:szCs w:val="24"/>
        </w:rPr>
      </w:pPr>
      <w:r>
        <w:rPr>
          <w:rFonts w:ascii="Times New Roman" w:hAnsi="Times New Roman" w:eastAsia="仿宋_GB2312" w:cs="Times New Roman"/>
          <w:color w:val="auto"/>
          <w:kern w:val="0"/>
          <w:sz w:val="32"/>
          <w:szCs w:val="32"/>
        </w:rPr>
        <w:t>（三）按规定做好公民、法人或者其他组织依申请公开部门预决算信息的答复工作。</w:t>
      </w:r>
    </w:p>
    <w:p w14:paraId="786DC9C1">
      <w:pPr>
        <w:keepLines/>
        <w:widowControl/>
        <w:shd w:val="clear" w:color="auto" w:fill="FFFFFF"/>
        <w:spacing w:line="480" w:lineRule="atLeast"/>
        <w:ind w:firstLine="645"/>
        <w:jc w:val="left"/>
        <w:rPr>
          <w:rFonts w:ascii="Times New Roman" w:hAnsi="Times New Roman" w:eastAsia="微软雅黑" w:cs="Times New Roman"/>
          <w:color w:val="auto"/>
          <w:kern w:val="0"/>
          <w:sz w:val="24"/>
          <w:szCs w:val="24"/>
        </w:rPr>
      </w:pPr>
      <w:r>
        <w:rPr>
          <w:rFonts w:ascii="Times New Roman" w:hAnsi="Times New Roman" w:eastAsia="仿宋_GB2312" w:cs="Times New Roman"/>
          <w:color w:val="auto"/>
          <w:kern w:val="0"/>
          <w:sz w:val="32"/>
          <w:szCs w:val="32"/>
        </w:rPr>
        <w:t>第六条部门预决算信息公开内容包括：</w:t>
      </w:r>
    </w:p>
    <w:p w14:paraId="67CC4B5D">
      <w:pPr>
        <w:keepLines/>
        <w:widowControl/>
        <w:shd w:val="clear" w:color="auto" w:fill="FFFFFF"/>
        <w:spacing w:line="480" w:lineRule="atLeast"/>
        <w:ind w:firstLine="645"/>
        <w:jc w:val="left"/>
        <w:rPr>
          <w:rFonts w:ascii="Times New Roman" w:hAnsi="Times New Roman" w:eastAsia="微软雅黑" w:cs="Times New Roman"/>
          <w:color w:val="auto"/>
          <w:kern w:val="0"/>
          <w:sz w:val="24"/>
          <w:szCs w:val="24"/>
        </w:rPr>
      </w:pPr>
      <w:r>
        <w:rPr>
          <w:rFonts w:ascii="Times New Roman" w:hAnsi="Times New Roman" w:eastAsia="仿宋_GB2312" w:cs="Times New Roman"/>
          <w:color w:val="auto"/>
          <w:kern w:val="0"/>
          <w:sz w:val="32"/>
          <w:szCs w:val="32"/>
        </w:rPr>
        <w:t>（一）部门文件。部门预决算信息公开管理办法。</w:t>
      </w:r>
    </w:p>
    <w:p w14:paraId="200BDBDE">
      <w:pPr>
        <w:keepLines/>
        <w:widowControl/>
        <w:shd w:val="clear" w:color="auto" w:fill="FFFFFF"/>
        <w:spacing w:line="480" w:lineRule="atLeast"/>
        <w:ind w:firstLine="645"/>
        <w:jc w:val="left"/>
        <w:rPr>
          <w:rFonts w:ascii="Times New Roman" w:hAnsi="Times New Roman" w:eastAsia="微软雅黑" w:cs="Times New Roman"/>
          <w:color w:val="auto"/>
          <w:kern w:val="0"/>
          <w:sz w:val="24"/>
          <w:szCs w:val="24"/>
        </w:rPr>
      </w:pPr>
      <w:r>
        <w:rPr>
          <w:rFonts w:ascii="Times New Roman" w:hAnsi="Times New Roman" w:eastAsia="仿宋_GB2312" w:cs="Times New Roman"/>
          <w:color w:val="auto"/>
          <w:kern w:val="0"/>
          <w:sz w:val="32"/>
          <w:szCs w:val="32"/>
        </w:rPr>
        <w:t>（二）部门概况。包括部门职责、机构设置、实有人员等情况。</w:t>
      </w:r>
    </w:p>
    <w:p w14:paraId="5EC404D0">
      <w:pPr>
        <w:keepLines/>
        <w:widowControl/>
        <w:shd w:val="clear" w:color="auto" w:fill="FFFFFF"/>
        <w:spacing w:line="480" w:lineRule="atLeast"/>
        <w:ind w:firstLine="645"/>
        <w:jc w:val="left"/>
        <w:rPr>
          <w:rFonts w:ascii="Times New Roman" w:hAnsi="Times New Roman" w:eastAsia="微软雅黑" w:cs="Times New Roman"/>
          <w:color w:val="auto"/>
          <w:kern w:val="0"/>
          <w:sz w:val="24"/>
          <w:szCs w:val="24"/>
        </w:rPr>
      </w:pPr>
      <w:r>
        <w:rPr>
          <w:rFonts w:ascii="Times New Roman" w:hAnsi="Times New Roman" w:eastAsia="仿宋_GB2312" w:cs="Times New Roman"/>
          <w:color w:val="auto"/>
          <w:kern w:val="0"/>
          <w:sz w:val="32"/>
          <w:szCs w:val="32"/>
        </w:rPr>
        <w:t>（三）预决算收支情况表。包括部门收支总体情况、财政拨款安排使用情况、“三公”经费财政拨款安排使用情况等。</w:t>
      </w:r>
    </w:p>
    <w:p w14:paraId="3709AAF6">
      <w:pPr>
        <w:keepLines/>
        <w:widowControl/>
        <w:shd w:val="clear" w:color="auto" w:fill="FFFFFF"/>
        <w:spacing w:line="480" w:lineRule="atLeast"/>
        <w:ind w:firstLine="645"/>
        <w:jc w:val="left"/>
        <w:rPr>
          <w:rFonts w:ascii="Times New Roman" w:hAnsi="Times New Roman" w:eastAsia="微软雅黑" w:cs="Times New Roman"/>
          <w:color w:val="auto"/>
          <w:kern w:val="0"/>
          <w:sz w:val="24"/>
          <w:szCs w:val="24"/>
        </w:rPr>
      </w:pPr>
      <w:r>
        <w:rPr>
          <w:rFonts w:ascii="Times New Roman" w:hAnsi="Times New Roman" w:eastAsia="仿宋_GB2312" w:cs="Times New Roman"/>
          <w:color w:val="auto"/>
          <w:kern w:val="0"/>
          <w:sz w:val="32"/>
          <w:szCs w:val="32"/>
        </w:rPr>
        <w:t>（四）情况说明。包括预决算年度收支、机关运行经费、政府采购、“三公”经费、国有资产占有使用和项目支出绩效目标等情况说明。</w:t>
      </w:r>
    </w:p>
    <w:p w14:paraId="320547E5">
      <w:pPr>
        <w:keepLines/>
        <w:widowControl/>
        <w:shd w:val="clear" w:color="auto" w:fill="FFFFFF"/>
        <w:spacing w:line="480" w:lineRule="atLeast"/>
        <w:ind w:firstLine="645"/>
        <w:jc w:val="left"/>
        <w:rPr>
          <w:rFonts w:ascii="Times New Roman" w:hAnsi="Times New Roman" w:eastAsia="微软雅黑" w:cs="Times New Roman"/>
          <w:color w:val="auto"/>
          <w:kern w:val="0"/>
          <w:sz w:val="24"/>
          <w:szCs w:val="24"/>
        </w:rPr>
      </w:pPr>
      <w:r>
        <w:rPr>
          <w:rFonts w:ascii="Times New Roman" w:hAnsi="Times New Roman" w:eastAsia="仿宋_GB2312" w:cs="Times New Roman"/>
          <w:color w:val="auto"/>
          <w:kern w:val="0"/>
          <w:sz w:val="32"/>
          <w:szCs w:val="32"/>
        </w:rPr>
        <w:t>（五）名词解释。对预决算相关专业名词进行解释说明。</w:t>
      </w:r>
    </w:p>
    <w:p w14:paraId="53D1E1C7">
      <w:pPr>
        <w:keepLines/>
        <w:widowControl/>
        <w:shd w:val="clear" w:color="auto" w:fill="FFFFFF"/>
        <w:spacing w:line="480" w:lineRule="atLeast"/>
        <w:ind w:firstLine="645"/>
        <w:jc w:val="left"/>
        <w:rPr>
          <w:rFonts w:ascii="Times New Roman" w:hAnsi="Times New Roman" w:eastAsia="微软雅黑" w:cs="Times New Roman"/>
          <w:color w:val="auto"/>
          <w:kern w:val="0"/>
          <w:sz w:val="24"/>
          <w:szCs w:val="24"/>
        </w:rPr>
      </w:pPr>
      <w:r>
        <w:rPr>
          <w:rFonts w:ascii="Times New Roman" w:hAnsi="Times New Roman" w:eastAsia="仿宋_GB2312" w:cs="Times New Roman"/>
          <w:color w:val="auto"/>
          <w:kern w:val="0"/>
          <w:sz w:val="32"/>
          <w:szCs w:val="32"/>
        </w:rPr>
        <w:t>第七条部门预决算信息在我单位门户网站“财政预决算”专栏公开，并保持长期公开状态，便于社会公众查询监督。</w:t>
      </w:r>
    </w:p>
    <w:p w14:paraId="7ADC5BDD">
      <w:pPr>
        <w:keepLines/>
        <w:widowControl/>
        <w:shd w:val="clear" w:color="auto" w:fill="FFFFFF"/>
        <w:spacing w:line="480" w:lineRule="atLeast"/>
        <w:ind w:firstLine="645"/>
        <w:jc w:val="left"/>
        <w:rPr>
          <w:rFonts w:ascii="Times New Roman" w:hAnsi="Times New Roman" w:eastAsia="微软雅黑" w:cs="Times New Roman"/>
          <w:color w:val="auto"/>
          <w:kern w:val="0"/>
          <w:sz w:val="24"/>
          <w:szCs w:val="24"/>
        </w:rPr>
      </w:pPr>
      <w:r>
        <w:rPr>
          <w:rFonts w:ascii="Times New Roman" w:hAnsi="Times New Roman" w:eastAsia="仿宋_GB2312" w:cs="Times New Roman"/>
          <w:color w:val="auto"/>
          <w:kern w:val="0"/>
          <w:sz w:val="32"/>
          <w:szCs w:val="32"/>
        </w:rPr>
        <w:t>第八条经区财政局批复的部门预决算及报表，应当在批复后20日内公开。</w:t>
      </w:r>
    </w:p>
    <w:p w14:paraId="66E1D1D6">
      <w:pPr>
        <w:keepLines/>
        <w:widowControl/>
        <w:shd w:val="clear" w:color="auto" w:fill="FFFFFF"/>
        <w:spacing w:line="480" w:lineRule="atLeast"/>
        <w:ind w:firstLine="645"/>
        <w:jc w:val="left"/>
        <w:rPr>
          <w:rFonts w:ascii="Times New Roman" w:hAnsi="Times New Roman" w:eastAsia="微软雅黑" w:cs="Times New Roman"/>
          <w:color w:val="auto"/>
          <w:kern w:val="0"/>
          <w:sz w:val="24"/>
          <w:szCs w:val="24"/>
        </w:rPr>
      </w:pPr>
      <w:r>
        <w:rPr>
          <w:rFonts w:ascii="Times New Roman" w:hAnsi="Times New Roman" w:eastAsia="仿宋_GB2312" w:cs="Times New Roman"/>
          <w:color w:val="auto"/>
          <w:kern w:val="0"/>
          <w:sz w:val="32"/>
          <w:szCs w:val="32"/>
        </w:rPr>
        <w:t>第九条本办法自印发之日起实行。</w:t>
      </w:r>
    </w:p>
    <w:p w14:paraId="19131B96">
      <w:pPr>
        <w:keepLines/>
        <w:widowControl/>
        <w:shd w:val="clear" w:color="auto" w:fill="FFFFFF"/>
        <w:jc w:val="center"/>
        <w:rPr>
          <w:rFonts w:ascii="Times New Roman" w:hAnsi="Times New Roman" w:eastAsia="微软雅黑" w:cs="Times New Roman"/>
          <w:color w:val="auto"/>
          <w:kern w:val="0"/>
          <w:sz w:val="24"/>
          <w:szCs w:val="24"/>
        </w:rPr>
      </w:pPr>
    </w:p>
    <w:p w14:paraId="10C47F1D">
      <w:pPr>
        <w:keepLines/>
        <w:widowControl/>
        <w:shd w:val="clear" w:color="auto" w:fill="FFFFFF"/>
        <w:jc w:val="center"/>
        <w:rPr>
          <w:rFonts w:ascii="Times New Roman" w:hAnsi="Times New Roman" w:eastAsia="微软雅黑" w:cs="Times New Roman"/>
          <w:color w:val="auto"/>
          <w:kern w:val="0"/>
          <w:sz w:val="24"/>
          <w:szCs w:val="24"/>
        </w:rPr>
      </w:pPr>
    </w:p>
    <w:p w14:paraId="28ABD25B">
      <w:pPr>
        <w:keepLines/>
        <w:widowControl/>
        <w:shd w:val="clear" w:color="auto" w:fill="FFFFFF"/>
        <w:jc w:val="center"/>
        <w:rPr>
          <w:rFonts w:ascii="Times New Roman" w:hAnsi="Times New Roman" w:eastAsia="微软雅黑" w:cs="Times New Roman"/>
          <w:color w:val="auto"/>
          <w:kern w:val="0"/>
          <w:sz w:val="24"/>
          <w:szCs w:val="24"/>
        </w:rPr>
      </w:pPr>
    </w:p>
    <w:p w14:paraId="2BB1F055">
      <w:pPr>
        <w:keepLines/>
        <w:widowControl/>
        <w:shd w:val="clear" w:color="auto" w:fill="FFFFFF"/>
        <w:jc w:val="center"/>
        <w:rPr>
          <w:rFonts w:ascii="Times New Roman" w:hAnsi="Times New Roman" w:eastAsia="微软雅黑" w:cs="Times New Roman"/>
          <w:color w:val="auto"/>
          <w:kern w:val="0"/>
          <w:sz w:val="24"/>
          <w:szCs w:val="24"/>
        </w:rPr>
      </w:pPr>
    </w:p>
    <w:p w14:paraId="44C41D59">
      <w:pPr>
        <w:keepLines/>
        <w:widowControl/>
        <w:shd w:val="clear" w:color="auto" w:fill="FFFFFF"/>
        <w:jc w:val="center"/>
        <w:rPr>
          <w:rFonts w:ascii="Times New Roman" w:hAnsi="宋体" w:eastAsia="宋体" w:cs="Times New Roman"/>
          <w:b/>
          <w:bCs/>
          <w:color w:val="auto"/>
          <w:kern w:val="0"/>
          <w:sz w:val="36"/>
          <w:szCs w:val="36"/>
        </w:rPr>
      </w:pPr>
    </w:p>
    <w:p w14:paraId="0561E42D">
      <w:pPr>
        <w:keepLines/>
        <w:widowControl/>
        <w:shd w:val="clear" w:color="auto" w:fill="FFFFFF"/>
        <w:jc w:val="center"/>
        <w:rPr>
          <w:rFonts w:ascii="Times New Roman" w:hAnsi="宋体" w:eastAsia="宋体" w:cs="Times New Roman"/>
          <w:b/>
          <w:bCs/>
          <w:color w:val="auto"/>
          <w:kern w:val="0"/>
          <w:sz w:val="36"/>
          <w:szCs w:val="36"/>
        </w:rPr>
      </w:pPr>
    </w:p>
    <w:p w14:paraId="52BEBE96">
      <w:pPr>
        <w:keepLines/>
        <w:widowControl/>
        <w:shd w:val="clear" w:color="auto" w:fill="FFFFFF"/>
        <w:jc w:val="center"/>
        <w:rPr>
          <w:rFonts w:ascii="Times New Roman" w:hAnsi="宋体" w:eastAsia="宋体" w:cs="Times New Roman"/>
          <w:b/>
          <w:bCs/>
          <w:color w:val="auto"/>
          <w:kern w:val="0"/>
          <w:sz w:val="36"/>
          <w:szCs w:val="36"/>
        </w:rPr>
      </w:pPr>
    </w:p>
    <w:p w14:paraId="74A3A931">
      <w:pPr>
        <w:keepLines/>
        <w:widowControl/>
        <w:shd w:val="clear" w:color="auto" w:fill="FFFFFF"/>
        <w:jc w:val="center"/>
        <w:rPr>
          <w:rFonts w:hint="eastAsia" w:ascii="Times New Roman" w:hAnsi="宋体" w:eastAsia="宋体" w:cs="Times New Roman"/>
          <w:b/>
          <w:bCs/>
          <w:color w:val="auto"/>
          <w:kern w:val="0"/>
          <w:sz w:val="36"/>
          <w:szCs w:val="36"/>
          <w:lang w:eastAsia="zh-CN"/>
        </w:rPr>
      </w:pPr>
      <w:r>
        <w:rPr>
          <w:rFonts w:ascii="Times New Roman" w:hAnsi="宋体" w:eastAsia="宋体" w:cs="Times New Roman"/>
          <w:b/>
          <w:bCs/>
          <w:color w:val="auto"/>
          <w:kern w:val="0"/>
          <w:sz w:val="36"/>
          <w:szCs w:val="36"/>
        </w:rPr>
        <w:t>第二部分</w:t>
      </w:r>
      <w:r>
        <w:rPr>
          <w:rFonts w:ascii="Times New Roman" w:hAnsi="Times New Roman" w:eastAsia="宋体" w:cs="Times New Roman"/>
          <w:b/>
          <w:bCs/>
          <w:color w:val="auto"/>
          <w:kern w:val="0"/>
          <w:sz w:val="36"/>
          <w:szCs w:val="36"/>
        </w:rPr>
        <w:t xml:space="preserve"> </w:t>
      </w:r>
      <w:r>
        <w:rPr>
          <w:rFonts w:ascii="Times New Roman" w:hAnsi="宋体" w:eastAsia="宋体" w:cs="Times New Roman"/>
          <w:b/>
          <w:bCs/>
          <w:color w:val="auto"/>
          <w:kern w:val="0"/>
          <w:sz w:val="36"/>
          <w:szCs w:val="36"/>
        </w:rPr>
        <w:t>本溪市溪湖区</w:t>
      </w:r>
      <w:r>
        <w:rPr>
          <w:rFonts w:hint="eastAsia" w:ascii="Times New Roman" w:hAnsi="宋体" w:eastAsia="宋体" w:cs="Times New Roman"/>
          <w:b/>
          <w:bCs/>
          <w:color w:val="auto"/>
          <w:kern w:val="0"/>
          <w:sz w:val="36"/>
          <w:szCs w:val="36"/>
          <w:lang w:eastAsia="zh-CN"/>
        </w:rPr>
        <w:t>审计局</w:t>
      </w:r>
    </w:p>
    <w:p w14:paraId="238144A2">
      <w:pPr>
        <w:keepLines/>
        <w:widowControl/>
        <w:shd w:val="clear" w:color="auto" w:fill="FFFFFF"/>
        <w:jc w:val="center"/>
        <w:rPr>
          <w:rFonts w:ascii="Times New Roman" w:hAnsi="Times New Roman" w:eastAsia="微软雅黑" w:cs="Times New Roman"/>
          <w:color w:val="auto"/>
          <w:kern w:val="0"/>
          <w:sz w:val="24"/>
          <w:szCs w:val="24"/>
        </w:rPr>
      </w:pPr>
      <w:r>
        <w:rPr>
          <w:rFonts w:ascii="Times New Roman" w:hAnsi="宋体" w:eastAsia="宋体" w:cs="Times New Roman"/>
          <w:b/>
          <w:bCs/>
          <w:color w:val="auto"/>
          <w:kern w:val="0"/>
          <w:sz w:val="36"/>
          <w:szCs w:val="36"/>
        </w:rPr>
        <w:t>概况</w:t>
      </w:r>
    </w:p>
    <w:p w14:paraId="63FA66D6">
      <w:pPr>
        <w:keepLines/>
        <w:widowControl/>
        <w:shd w:val="clear" w:color="auto" w:fill="FFFFFF"/>
        <w:ind w:firstLine="645"/>
        <w:jc w:val="left"/>
        <w:rPr>
          <w:rFonts w:ascii="Times New Roman" w:hAnsi="Times New Roman" w:eastAsia="微软雅黑" w:cs="Times New Roman"/>
          <w:color w:val="auto"/>
          <w:kern w:val="0"/>
          <w:sz w:val="24"/>
          <w:szCs w:val="24"/>
        </w:rPr>
      </w:pPr>
    </w:p>
    <w:p w14:paraId="2327BDAF">
      <w:pPr>
        <w:keepLines/>
        <w:widowControl/>
        <w:numPr>
          <w:ilvl w:val="0"/>
          <w:numId w:val="1"/>
        </w:numPr>
        <w:shd w:val="clear" w:color="auto" w:fill="FFFFFF"/>
        <w:ind w:firstLine="645"/>
        <w:jc w:val="left"/>
        <w:rPr>
          <w:rFonts w:ascii="Times New Roman" w:hAnsi="黑体" w:eastAsia="黑体" w:cs="Times New Roman"/>
          <w:color w:val="auto"/>
          <w:kern w:val="0"/>
          <w:sz w:val="32"/>
          <w:szCs w:val="32"/>
        </w:rPr>
      </w:pPr>
      <w:r>
        <w:rPr>
          <w:rFonts w:ascii="Times New Roman" w:hAnsi="黑体" w:eastAsia="黑体" w:cs="Times New Roman"/>
          <w:color w:val="auto"/>
          <w:kern w:val="0"/>
          <w:sz w:val="32"/>
          <w:szCs w:val="32"/>
        </w:rPr>
        <w:t>部门职责</w:t>
      </w:r>
    </w:p>
    <w:p w14:paraId="52D40480">
      <w:pPr>
        <w:keepLines/>
        <w:widowControl/>
        <w:numPr>
          <w:ilvl w:val="0"/>
          <w:numId w:val="2"/>
        </w:numPr>
        <w:shd w:val="clear" w:color="auto" w:fill="FFFFFF"/>
        <w:ind w:left="640" w:leftChars="0" w:firstLine="0" w:firstLineChars="0"/>
        <w:jc w:val="left"/>
        <w:rPr>
          <w:rFonts w:hint="eastAsia" w:ascii="仿宋_GB2312" w:hAnsi="仿宋_GB2312" w:eastAsia="仿宋_GB2312" w:cs="仿宋_GB2312"/>
          <w:color w:val="333333"/>
          <w:kern w:val="0"/>
          <w:sz w:val="32"/>
          <w:szCs w:val="32"/>
          <w:lang w:val="en-US" w:eastAsia="zh-CN"/>
        </w:rPr>
      </w:pPr>
      <w:r>
        <w:rPr>
          <w:rFonts w:hint="eastAsia" w:ascii="仿宋_GB2312" w:hAnsi="仿宋_GB2312" w:eastAsia="仿宋_GB2312" w:cs="仿宋_GB2312"/>
          <w:color w:val="333333"/>
          <w:kern w:val="0"/>
          <w:sz w:val="32"/>
          <w:szCs w:val="32"/>
          <w:lang w:val="en-US" w:eastAsia="zh-CN"/>
        </w:rPr>
        <w:t>主管全区审计工作。</w:t>
      </w:r>
    </w:p>
    <w:p w14:paraId="76ADCCC1">
      <w:pPr>
        <w:keepLines/>
        <w:widowControl/>
        <w:numPr>
          <w:ilvl w:val="0"/>
          <w:numId w:val="2"/>
        </w:numPr>
        <w:shd w:val="clear" w:color="auto" w:fill="FFFFFF"/>
        <w:ind w:left="640" w:leftChars="0" w:firstLine="0" w:firstLineChars="0"/>
        <w:jc w:val="left"/>
        <w:rPr>
          <w:rFonts w:hint="eastAsia" w:ascii="仿宋_GB2312" w:hAnsi="仿宋_GB2312" w:eastAsia="仿宋_GB2312" w:cs="仿宋_GB2312"/>
          <w:color w:val="333333"/>
          <w:kern w:val="0"/>
          <w:sz w:val="32"/>
          <w:szCs w:val="32"/>
          <w:lang w:val="en-US" w:eastAsia="zh-CN"/>
        </w:rPr>
      </w:pPr>
      <w:r>
        <w:rPr>
          <w:rFonts w:hint="eastAsia" w:ascii="仿宋_GB2312" w:hAnsi="仿宋_GB2312" w:eastAsia="仿宋_GB2312" w:cs="仿宋_GB2312"/>
          <w:color w:val="333333"/>
          <w:kern w:val="0"/>
          <w:sz w:val="32"/>
          <w:szCs w:val="32"/>
          <w:lang w:val="en-US" w:eastAsia="zh-CN"/>
        </w:rPr>
        <w:t>负责执行审计规章、国家审计准则和指南。</w:t>
      </w:r>
    </w:p>
    <w:p w14:paraId="03543434">
      <w:pPr>
        <w:keepLines/>
        <w:widowControl/>
        <w:numPr>
          <w:ilvl w:val="0"/>
          <w:numId w:val="2"/>
        </w:numPr>
        <w:shd w:val="clear" w:color="auto" w:fill="FFFFFF"/>
        <w:ind w:left="640" w:leftChars="0" w:firstLine="0" w:firstLineChars="0"/>
        <w:jc w:val="left"/>
        <w:rPr>
          <w:rFonts w:hint="eastAsia" w:ascii="仿宋_GB2312" w:hAnsi="仿宋_GB2312" w:eastAsia="仿宋_GB2312" w:cs="仿宋_GB2312"/>
          <w:color w:val="333333"/>
          <w:kern w:val="0"/>
          <w:sz w:val="32"/>
          <w:szCs w:val="32"/>
          <w:lang w:val="en-US" w:eastAsia="zh-CN"/>
        </w:rPr>
      </w:pPr>
      <w:r>
        <w:rPr>
          <w:rFonts w:hint="eastAsia" w:ascii="仿宋_GB2312" w:hAnsi="仿宋_GB2312" w:eastAsia="仿宋_GB2312" w:cs="仿宋_GB2312"/>
          <w:color w:val="333333"/>
          <w:kern w:val="0"/>
          <w:sz w:val="32"/>
          <w:szCs w:val="32"/>
          <w:lang w:val="en-US" w:eastAsia="zh-CN"/>
        </w:rPr>
        <w:t>向区委审计委员会提出年度县级预算执行和其他财政支出情况审计报告。</w:t>
      </w:r>
    </w:p>
    <w:p w14:paraId="57990D99">
      <w:pPr>
        <w:keepLines/>
        <w:widowControl/>
        <w:numPr>
          <w:ilvl w:val="0"/>
          <w:numId w:val="2"/>
        </w:numPr>
        <w:shd w:val="clear" w:color="auto" w:fill="FFFFFF"/>
        <w:ind w:left="640" w:leftChars="0" w:firstLine="0" w:firstLineChars="0"/>
        <w:jc w:val="left"/>
        <w:rPr>
          <w:rFonts w:hint="eastAsia" w:ascii="仿宋_GB2312" w:hAnsi="仿宋_GB2312" w:eastAsia="仿宋_GB2312" w:cs="仿宋_GB2312"/>
          <w:color w:val="333333"/>
          <w:kern w:val="0"/>
          <w:sz w:val="32"/>
          <w:szCs w:val="32"/>
          <w:lang w:val="en-US" w:eastAsia="zh-CN"/>
        </w:rPr>
      </w:pPr>
      <w:r>
        <w:rPr>
          <w:rFonts w:hint="eastAsia" w:ascii="仿宋_GB2312" w:hAnsi="仿宋_GB2312" w:eastAsia="仿宋_GB2312" w:cs="仿宋_GB2312"/>
          <w:color w:val="333333"/>
          <w:kern w:val="0"/>
          <w:sz w:val="32"/>
          <w:szCs w:val="32"/>
          <w:lang w:val="en-US" w:eastAsia="zh-CN"/>
        </w:rPr>
        <w:t>出具审计报告，在规定职权范围内作出审计决定。</w:t>
      </w:r>
    </w:p>
    <w:p w14:paraId="3F1621F8">
      <w:pPr>
        <w:keepLines/>
        <w:widowControl/>
        <w:numPr>
          <w:ilvl w:val="0"/>
          <w:numId w:val="2"/>
        </w:numPr>
        <w:shd w:val="clear" w:color="auto" w:fill="FFFFFF"/>
        <w:ind w:left="640" w:leftChars="0" w:firstLine="0" w:firstLineChars="0"/>
        <w:jc w:val="left"/>
        <w:rPr>
          <w:rFonts w:hint="eastAsia" w:ascii="仿宋_GB2312" w:hAnsi="仿宋_GB2312" w:eastAsia="仿宋_GB2312" w:cs="仿宋_GB2312"/>
          <w:color w:val="333333"/>
          <w:kern w:val="0"/>
          <w:sz w:val="32"/>
          <w:szCs w:val="32"/>
          <w:lang w:val="en-US" w:eastAsia="zh-CN"/>
        </w:rPr>
      </w:pPr>
      <w:r>
        <w:rPr>
          <w:rFonts w:hint="eastAsia" w:ascii="仿宋_GB2312" w:hAnsi="仿宋_GB2312" w:eastAsia="仿宋_GB2312" w:cs="仿宋_GB2312"/>
          <w:color w:val="333333"/>
          <w:kern w:val="0"/>
          <w:sz w:val="32"/>
          <w:szCs w:val="32"/>
          <w:lang w:val="en-US" w:eastAsia="zh-CN"/>
        </w:rPr>
        <w:t>按照规定对部门党政主要领导干部及其他单位主要负责人实施责任审计和自然资源资产离任审计。</w:t>
      </w:r>
    </w:p>
    <w:p w14:paraId="076220BF">
      <w:pPr>
        <w:keepLines/>
        <w:widowControl/>
        <w:numPr>
          <w:ilvl w:val="0"/>
          <w:numId w:val="2"/>
        </w:numPr>
        <w:shd w:val="clear" w:color="auto" w:fill="FFFFFF"/>
        <w:ind w:left="640" w:leftChars="0" w:firstLine="0" w:firstLineChars="0"/>
        <w:jc w:val="left"/>
        <w:rPr>
          <w:rFonts w:hint="eastAsia" w:ascii="仿宋_GB2312" w:hAnsi="仿宋_GB2312" w:eastAsia="仿宋_GB2312" w:cs="仿宋_GB2312"/>
          <w:color w:val="333333"/>
          <w:kern w:val="0"/>
          <w:sz w:val="32"/>
          <w:szCs w:val="32"/>
          <w:lang w:val="en-US" w:eastAsia="zh-CN"/>
        </w:rPr>
      </w:pPr>
      <w:r>
        <w:rPr>
          <w:rFonts w:hint="eastAsia" w:ascii="仿宋_GB2312" w:hAnsi="仿宋_GB2312" w:eastAsia="仿宋_GB2312" w:cs="仿宋_GB2312"/>
          <w:color w:val="333333"/>
          <w:kern w:val="0"/>
          <w:sz w:val="32"/>
          <w:szCs w:val="32"/>
          <w:lang w:val="en-US" w:eastAsia="zh-CN"/>
        </w:rPr>
        <w:t>组织实施对国家、省市财经法律法规、规章、政策和宏观调控措施执行情况进行专项审计调查。</w:t>
      </w:r>
    </w:p>
    <w:p w14:paraId="721E329E">
      <w:pPr>
        <w:keepLines/>
        <w:widowControl/>
        <w:numPr>
          <w:ilvl w:val="0"/>
          <w:numId w:val="2"/>
        </w:numPr>
        <w:shd w:val="clear" w:color="auto" w:fill="FFFFFF"/>
        <w:ind w:left="640" w:leftChars="0" w:firstLine="0" w:firstLineChars="0"/>
        <w:jc w:val="left"/>
        <w:rPr>
          <w:rFonts w:ascii="Times New Roman" w:hAnsi="黑体" w:eastAsia="黑体" w:cs="Times New Roman"/>
          <w:color w:val="auto"/>
          <w:kern w:val="0"/>
          <w:sz w:val="32"/>
          <w:szCs w:val="32"/>
        </w:rPr>
      </w:pPr>
      <w:r>
        <w:rPr>
          <w:rFonts w:hint="eastAsia" w:ascii="仿宋_GB2312" w:hAnsi="仿宋_GB2312" w:eastAsia="仿宋_GB2312" w:cs="仿宋_GB2312"/>
          <w:color w:val="333333"/>
          <w:kern w:val="0"/>
          <w:sz w:val="32"/>
          <w:szCs w:val="32"/>
          <w:lang w:val="en-US" w:eastAsia="zh-CN"/>
        </w:rPr>
        <w:t>完成区委、区政府交办的其他任务。</w:t>
      </w:r>
      <w:bookmarkStart w:id="1" w:name="_GoBack"/>
      <w:bookmarkEnd w:id="1"/>
    </w:p>
    <w:p w14:paraId="60D3D329">
      <w:pPr>
        <w:keepLines/>
        <w:widowControl/>
        <w:shd w:val="clear" w:color="auto" w:fill="FFFFFF"/>
        <w:ind w:firstLine="645"/>
        <w:jc w:val="left"/>
        <w:rPr>
          <w:rFonts w:ascii="Times New Roman" w:hAnsi="Times New Roman" w:eastAsia="微软雅黑" w:cs="Times New Roman"/>
          <w:color w:val="auto"/>
          <w:kern w:val="0"/>
          <w:sz w:val="24"/>
          <w:szCs w:val="24"/>
        </w:rPr>
      </w:pPr>
      <w:r>
        <w:rPr>
          <w:rFonts w:ascii="Times New Roman" w:hAnsi="黑体" w:eastAsia="黑体" w:cs="Times New Roman"/>
          <w:color w:val="auto"/>
          <w:kern w:val="0"/>
          <w:sz w:val="32"/>
          <w:szCs w:val="32"/>
        </w:rPr>
        <w:t>二、机构设置</w:t>
      </w:r>
    </w:p>
    <w:p w14:paraId="2AA591B1">
      <w:pPr>
        <w:keepLines/>
        <w:widowControl/>
        <w:shd w:val="clear" w:color="auto" w:fill="FFFFFF"/>
        <w:ind w:firstLine="645"/>
        <w:jc w:val="left"/>
        <w:rPr>
          <w:rFonts w:ascii="Times New Roman" w:hAnsi="Times New Roman" w:eastAsia="微软雅黑" w:cs="Times New Roman"/>
          <w:color w:val="auto"/>
          <w:kern w:val="0"/>
          <w:sz w:val="24"/>
          <w:szCs w:val="24"/>
        </w:rPr>
      </w:pPr>
      <w:r>
        <w:rPr>
          <w:rFonts w:ascii="Times New Roman" w:hAnsi="Times New Roman" w:eastAsia="仿宋_GB2312" w:cs="Times New Roman"/>
          <w:color w:val="auto"/>
          <w:kern w:val="0"/>
          <w:sz w:val="32"/>
          <w:szCs w:val="32"/>
        </w:rPr>
        <w:t>纳入本溪市溪湖区</w:t>
      </w:r>
      <w:r>
        <w:rPr>
          <w:rFonts w:hint="eastAsia" w:ascii="Times New Roman" w:hAnsi="Times New Roman" w:eastAsia="仿宋_GB2312" w:cs="Times New Roman"/>
          <w:color w:val="auto"/>
          <w:kern w:val="0"/>
          <w:sz w:val="32"/>
          <w:szCs w:val="32"/>
          <w:lang w:eastAsia="zh-CN"/>
        </w:rPr>
        <w:t>审计局</w:t>
      </w:r>
      <w:r>
        <w:rPr>
          <w:rFonts w:ascii="Times New Roman" w:hAnsi="Times New Roman" w:eastAsia="仿宋_GB2312" w:cs="Times New Roman"/>
          <w:color w:val="auto"/>
          <w:kern w:val="0"/>
          <w:sz w:val="32"/>
          <w:szCs w:val="32"/>
        </w:rPr>
        <w:t>2024年部门预算编制范围的二级预算单位包括：</w:t>
      </w:r>
    </w:p>
    <w:p w14:paraId="6AECAF44">
      <w:pPr>
        <w:ind w:firstLine="640" w:firstLineChars="200"/>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w:t>
      </w:r>
      <w:r>
        <w:rPr>
          <w:rFonts w:ascii="Times New Roman" w:hAnsi="Times New Roman" w:eastAsia="仿宋_GB2312" w:cs="Times New Roman"/>
          <w:color w:val="auto"/>
          <w:kern w:val="0"/>
          <w:sz w:val="32"/>
          <w:szCs w:val="32"/>
        </w:rPr>
        <w:t>本溪市溪湖区</w:t>
      </w:r>
      <w:r>
        <w:rPr>
          <w:rFonts w:hint="eastAsia" w:ascii="Times New Roman" w:hAnsi="Times New Roman" w:eastAsia="仿宋_GB2312" w:cs="Times New Roman"/>
          <w:color w:val="auto"/>
          <w:kern w:val="0"/>
          <w:sz w:val="32"/>
          <w:szCs w:val="32"/>
          <w:lang w:eastAsia="zh-CN"/>
        </w:rPr>
        <w:t>审计局</w:t>
      </w:r>
      <w:r>
        <w:rPr>
          <w:rFonts w:ascii="Times New Roman" w:hAnsi="Times New Roman" w:eastAsia="仿宋_GB2312" w:cs="Times New Roman"/>
          <w:color w:val="auto"/>
          <w:sz w:val="32"/>
          <w:szCs w:val="32"/>
        </w:rPr>
        <w:t>本级</w:t>
      </w:r>
    </w:p>
    <w:p w14:paraId="04D9363B">
      <w:pPr>
        <w:ind w:firstLine="640" w:firstLineChars="200"/>
        <w:jc w:val="left"/>
        <w:rPr>
          <w:rFonts w:hint="default"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rPr>
        <w:t>（二）</w:t>
      </w:r>
      <w:r>
        <w:rPr>
          <w:rFonts w:hint="eastAsia" w:ascii="Times New Roman" w:hAnsi="Times New Roman" w:eastAsia="仿宋_GB2312" w:cs="Times New Roman"/>
          <w:color w:val="auto"/>
          <w:sz w:val="32"/>
          <w:szCs w:val="32"/>
        </w:rPr>
        <w:t>本溪市溪湖区</w:t>
      </w:r>
      <w:r>
        <w:rPr>
          <w:rFonts w:hint="eastAsia" w:ascii="Times New Roman" w:hAnsi="Times New Roman" w:eastAsia="仿宋_GB2312" w:cs="Times New Roman"/>
          <w:color w:val="auto"/>
          <w:sz w:val="32"/>
          <w:szCs w:val="32"/>
          <w:lang w:val="en-US" w:eastAsia="zh-CN"/>
        </w:rPr>
        <w:t>审计服务中心</w:t>
      </w:r>
    </w:p>
    <w:p w14:paraId="24A0E3FD">
      <w:pPr>
        <w:keepLines/>
        <w:widowControl/>
        <w:shd w:val="clear" w:color="auto" w:fill="FFFFFF"/>
        <w:jc w:val="center"/>
        <w:rPr>
          <w:rFonts w:ascii="Times New Roman" w:hAnsi="Times New Roman" w:eastAsia="微软雅黑" w:cs="Times New Roman"/>
          <w:color w:val="auto"/>
          <w:kern w:val="0"/>
          <w:sz w:val="24"/>
          <w:szCs w:val="24"/>
        </w:rPr>
      </w:pPr>
    </w:p>
    <w:p w14:paraId="62DA98A4">
      <w:pPr>
        <w:keepLines/>
        <w:widowControl/>
        <w:shd w:val="clear" w:color="auto" w:fill="FFFFFF"/>
        <w:jc w:val="center"/>
        <w:rPr>
          <w:rFonts w:ascii="Times New Roman" w:hAnsi="Times New Roman" w:eastAsia="微软雅黑" w:cs="Times New Roman"/>
          <w:color w:val="auto"/>
          <w:kern w:val="0"/>
          <w:sz w:val="24"/>
          <w:szCs w:val="24"/>
        </w:rPr>
      </w:pPr>
    </w:p>
    <w:p w14:paraId="74C747BF">
      <w:pPr>
        <w:keepLines/>
        <w:widowControl/>
        <w:shd w:val="clear" w:color="auto" w:fill="FFFFFF"/>
        <w:jc w:val="center"/>
        <w:rPr>
          <w:rFonts w:ascii="Times New Roman" w:hAnsi="Times New Roman" w:eastAsia="微软雅黑" w:cs="Times New Roman"/>
          <w:color w:val="auto"/>
          <w:kern w:val="0"/>
          <w:sz w:val="24"/>
          <w:szCs w:val="24"/>
        </w:rPr>
      </w:pPr>
    </w:p>
    <w:p w14:paraId="2BF27500">
      <w:pPr>
        <w:keepLines/>
        <w:widowControl/>
        <w:shd w:val="clear" w:color="auto" w:fill="FFFFFF"/>
        <w:jc w:val="center"/>
        <w:rPr>
          <w:rFonts w:ascii="Times New Roman" w:hAnsi="Times New Roman" w:eastAsia="微软雅黑" w:cs="Times New Roman"/>
          <w:color w:val="auto"/>
          <w:kern w:val="0"/>
          <w:sz w:val="24"/>
          <w:szCs w:val="24"/>
        </w:rPr>
      </w:pPr>
    </w:p>
    <w:p w14:paraId="5D44EF85">
      <w:pPr>
        <w:keepLines/>
        <w:widowControl/>
        <w:shd w:val="clear" w:color="auto" w:fill="FFFFFF"/>
        <w:jc w:val="center"/>
        <w:rPr>
          <w:rFonts w:ascii="Times New Roman" w:hAnsi="Times New Roman" w:eastAsia="微软雅黑" w:cs="Times New Roman"/>
          <w:color w:val="auto"/>
          <w:kern w:val="0"/>
          <w:sz w:val="24"/>
          <w:szCs w:val="24"/>
        </w:rPr>
      </w:pPr>
    </w:p>
    <w:p w14:paraId="5FDC01ED">
      <w:pPr>
        <w:keepLines/>
        <w:widowControl/>
        <w:shd w:val="clear" w:color="auto" w:fill="FFFFFF"/>
        <w:jc w:val="center"/>
        <w:rPr>
          <w:rFonts w:ascii="Times New Roman" w:hAnsi="Times New Roman" w:eastAsia="微软雅黑" w:cs="Times New Roman"/>
          <w:color w:val="auto"/>
          <w:kern w:val="0"/>
          <w:sz w:val="24"/>
          <w:szCs w:val="24"/>
        </w:rPr>
      </w:pPr>
    </w:p>
    <w:p w14:paraId="14FFF41A">
      <w:pPr>
        <w:keepLines/>
        <w:widowControl/>
        <w:shd w:val="clear" w:color="auto" w:fill="FFFFFF"/>
        <w:jc w:val="center"/>
        <w:rPr>
          <w:rFonts w:ascii="Times New Roman" w:hAnsi="Times New Roman" w:eastAsia="微软雅黑" w:cs="Times New Roman"/>
          <w:color w:val="auto"/>
          <w:kern w:val="0"/>
          <w:sz w:val="24"/>
          <w:szCs w:val="24"/>
        </w:rPr>
      </w:pPr>
    </w:p>
    <w:p w14:paraId="1F00E25A">
      <w:pPr>
        <w:keepLines/>
        <w:widowControl/>
        <w:shd w:val="clear" w:color="auto" w:fill="FFFFFF"/>
        <w:jc w:val="center"/>
        <w:rPr>
          <w:rFonts w:ascii="Times New Roman" w:hAnsi="Times New Roman" w:eastAsia="微软雅黑" w:cs="Times New Roman"/>
          <w:color w:val="auto"/>
          <w:kern w:val="0"/>
          <w:sz w:val="24"/>
          <w:szCs w:val="24"/>
        </w:rPr>
      </w:pPr>
    </w:p>
    <w:p w14:paraId="1FA2133D">
      <w:pPr>
        <w:keepLines/>
        <w:widowControl/>
        <w:shd w:val="clear" w:color="auto" w:fill="FFFFFF"/>
        <w:jc w:val="center"/>
        <w:rPr>
          <w:rFonts w:ascii="Times New Roman" w:hAnsi="Times New Roman" w:eastAsia="微软雅黑" w:cs="Times New Roman"/>
          <w:color w:val="auto"/>
          <w:kern w:val="0"/>
          <w:sz w:val="24"/>
          <w:szCs w:val="24"/>
        </w:rPr>
      </w:pPr>
    </w:p>
    <w:p w14:paraId="4465FA48">
      <w:pPr>
        <w:keepLines/>
        <w:widowControl/>
        <w:shd w:val="clear" w:color="auto" w:fill="FFFFFF"/>
        <w:jc w:val="center"/>
        <w:rPr>
          <w:rFonts w:ascii="Times New Roman" w:hAnsi="Times New Roman" w:eastAsia="微软雅黑" w:cs="Times New Roman"/>
          <w:color w:val="auto"/>
          <w:kern w:val="0"/>
          <w:sz w:val="24"/>
          <w:szCs w:val="24"/>
        </w:rPr>
      </w:pPr>
    </w:p>
    <w:p w14:paraId="76B002DB">
      <w:pPr>
        <w:keepLines/>
        <w:widowControl/>
        <w:shd w:val="clear" w:color="auto" w:fill="FFFFFF"/>
        <w:jc w:val="center"/>
        <w:rPr>
          <w:rFonts w:ascii="Times New Roman" w:hAnsi="Times New Roman" w:eastAsia="微软雅黑" w:cs="Times New Roman"/>
          <w:color w:val="auto"/>
          <w:kern w:val="0"/>
          <w:sz w:val="24"/>
          <w:szCs w:val="24"/>
        </w:rPr>
      </w:pPr>
    </w:p>
    <w:p w14:paraId="431BB01F">
      <w:pPr>
        <w:keepLines/>
        <w:widowControl/>
        <w:shd w:val="clear" w:color="auto" w:fill="FFFFFF"/>
        <w:jc w:val="center"/>
        <w:rPr>
          <w:rFonts w:ascii="Times New Roman" w:hAnsi="Times New Roman" w:eastAsia="微软雅黑" w:cs="Times New Roman"/>
          <w:color w:val="auto"/>
          <w:kern w:val="0"/>
          <w:sz w:val="24"/>
          <w:szCs w:val="24"/>
        </w:rPr>
      </w:pPr>
    </w:p>
    <w:p w14:paraId="34BE4812">
      <w:pPr>
        <w:keepLines/>
        <w:widowControl/>
        <w:shd w:val="clear" w:color="auto" w:fill="FFFFFF"/>
        <w:jc w:val="center"/>
        <w:rPr>
          <w:rFonts w:ascii="Times New Roman" w:hAnsi="宋体" w:eastAsia="宋体" w:cs="Times New Roman"/>
          <w:b/>
          <w:bCs/>
          <w:color w:val="auto"/>
          <w:kern w:val="0"/>
          <w:sz w:val="36"/>
          <w:szCs w:val="36"/>
        </w:rPr>
      </w:pPr>
    </w:p>
    <w:p w14:paraId="38DD5AA3">
      <w:pPr>
        <w:keepLines/>
        <w:widowControl/>
        <w:shd w:val="clear" w:color="auto" w:fill="FFFFFF"/>
        <w:jc w:val="center"/>
        <w:rPr>
          <w:rFonts w:ascii="Times New Roman" w:hAnsi="宋体" w:eastAsia="宋体" w:cs="Times New Roman"/>
          <w:b/>
          <w:bCs/>
          <w:color w:val="auto"/>
          <w:kern w:val="0"/>
          <w:sz w:val="36"/>
          <w:szCs w:val="36"/>
        </w:rPr>
      </w:pPr>
    </w:p>
    <w:p w14:paraId="60BE113D">
      <w:pPr>
        <w:keepLines/>
        <w:widowControl/>
        <w:shd w:val="clear" w:color="auto" w:fill="FFFFFF"/>
        <w:jc w:val="center"/>
        <w:rPr>
          <w:rFonts w:ascii="Times New Roman" w:hAnsi="宋体" w:eastAsia="宋体" w:cs="Times New Roman"/>
          <w:b/>
          <w:bCs/>
          <w:color w:val="auto"/>
          <w:kern w:val="0"/>
          <w:sz w:val="36"/>
          <w:szCs w:val="36"/>
        </w:rPr>
      </w:pPr>
    </w:p>
    <w:p w14:paraId="79384CC5">
      <w:pPr>
        <w:keepLines/>
        <w:widowControl/>
        <w:shd w:val="clear" w:color="auto" w:fill="FFFFFF"/>
        <w:jc w:val="center"/>
        <w:rPr>
          <w:rFonts w:ascii="Times New Roman" w:hAnsi="宋体" w:eastAsia="宋体" w:cs="Times New Roman"/>
          <w:b/>
          <w:bCs/>
          <w:color w:val="auto"/>
          <w:kern w:val="0"/>
          <w:sz w:val="36"/>
          <w:szCs w:val="36"/>
        </w:rPr>
      </w:pPr>
    </w:p>
    <w:p w14:paraId="60B778EB">
      <w:pPr>
        <w:keepLines/>
        <w:widowControl/>
        <w:shd w:val="clear" w:color="auto" w:fill="FFFFFF"/>
        <w:jc w:val="center"/>
        <w:rPr>
          <w:rFonts w:ascii="Times New Roman" w:hAnsi="宋体" w:eastAsia="宋体" w:cs="Times New Roman"/>
          <w:b/>
          <w:bCs/>
          <w:color w:val="auto"/>
          <w:kern w:val="0"/>
          <w:sz w:val="36"/>
          <w:szCs w:val="36"/>
        </w:rPr>
      </w:pPr>
    </w:p>
    <w:p w14:paraId="188B372B">
      <w:pPr>
        <w:keepLines/>
        <w:widowControl/>
        <w:shd w:val="clear" w:color="auto" w:fill="FFFFFF"/>
        <w:jc w:val="center"/>
        <w:rPr>
          <w:rFonts w:ascii="Times New Roman" w:hAnsi="宋体" w:eastAsia="宋体" w:cs="Times New Roman"/>
          <w:b/>
          <w:bCs/>
          <w:color w:val="auto"/>
          <w:kern w:val="0"/>
          <w:sz w:val="36"/>
          <w:szCs w:val="36"/>
        </w:rPr>
      </w:pPr>
    </w:p>
    <w:p w14:paraId="2934D27B">
      <w:pPr>
        <w:keepLines/>
        <w:widowControl/>
        <w:shd w:val="clear" w:color="auto" w:fill="FFFFFF"/>
        <w:jc w:val="center"/>
        <w:rPr>
          <w:rFonts w:ascii="Times New Roman" w:hAnsi="Times New Roman" w:eastAsia="微软雅黑" w:cs="Times New Roman"/>
          <w:color w:val="auto"/>
          <w:kern w:val="0"/>
          <w:sz w:val="24"/>
          <w:szCs w:val="24"/>
        </w:rPr>
      </w:pPr>
      <w:r>
        <w:rPr>
          <w:rFonts w:ascii="Times New Roman" w:hAnsi="宋体" w:eastAsia="宋体" w:cs="Times New Roman"/>
          <w:b/>
          <w:bCs/>
          <w:color w:val="auto"/>
          <w:kern w:val="0"/>
          <w:sz w:val="36"/>
          <w:szCs w:val="36"/>
        </w:rPr>
        <w:t>第三部分本溪市溪湖区</w:t>
      </w:r>
      <w:r>
        <w:rPr>
          <w:rFonts w:hint="eastAsia" w:ascii="Times New Roman" w:hAnsi="宋体" w:eastAsia="宋体" w:cs="Times New Roman"/>
          <w:b/>
          <w:bCs/>
          <w:color w:val="auto"/>
          <w:kern w:val="0"/>
          <w:sz w:val="36"/>
          <w:szCs w:val="36"/>
          <w:lang w:eastAsia="zh-CN"/>
        </w:rPr>
        <w:t>审计局</w:t>
      </w:r>
      <w:r>
        <w:rPr>
          <w:rFonts w:ascii="Times New Roman" w:hAnsi="Times New Roman" w:eastAsia="宋体" w:cs="Times New Roman"/>
          <w:b/>
          <w:bCs/>
          <w:color w:val="auto"/>
          <w:kern w:val="0"/>
          <w:sz w:val="36"/>
          <w:szCs w:val="36"/>
        </w:rPr>
        <w:t>2024</w:t>
      </w:r>
      <w:r>
        <w:rPr>
          <w:rFonts w:ascii="Times New Roman" w:hAnsi="宋体" w:eastAsia="宋体" w:cs="Times New Roman"/>
          <w:b/>
          <w:bCs/>
          <w:color w:val="auto"/>
          <w:kern w:val="0"/>
          <w:sz w:val="36"/>
          <w:szCs w:val="36"/>
        </w:rPr>
        <w:t>年部门预算情况说明</w:t>
      </w:r>
    </w:p>
    <w:p w14:paraId="41EC3CA2">
      <w:pPr>
        <w:keepLines/>
        <w:widowControl/>
        <w:shd w:val="clear" w:color="auto" w:fill="FFFFFF"/>
        <w:jc w:val="left"/>
        <w:rPr>
          <w:rFonts w:ascii="Times New Roman" w:hAnsi="Times New Roman" w:eastAsia="微软雅黑" w:cs="Times New Roman"/>
          <w:color w:val="auto"/>
          <w:kern w:val="0"/>
          <w:sz w:val="24"/>
          <w:szCs w:val="24"/>
        </w:rPr>
      </w:pPr>
    </w:p>
    <w:p w14:paraId="5FCB8022">
      <w:pPr>
        <w:keepLines/>
        <w:widowControl/>
        <w:shd w:val="clear" w:color="auto" w:fill="FFFFFF"/>
        <w:ind w:firstLine="630"/>
        <w:jc w:val="left"/>
        <w:rPr>
          <w:rFonts w:ascii="Times New Roman" w:hAnsi="Times New Roman" w:eastAsia="微软雅黑" w:cs="Times New Roman"/>
          <w:color w:val="auto"/>
          <w:kern w:val="0"/>
          <w:sz w:val="24"/>
          <w:szCs w:val="24"/>
        </w:rPr>
      </w:pPr>
      <w:r>
        <w:rPr>
          <w:rFonts w:ascii="Times New Roman" w:hAnsi="黑体" w:eastAsia="黑体" w:cs="Times New Roman"/>
          <w:color w:val="auto"/>
          <w:kern w:val="0"/>
          <w:sz w:val="32"/>
          <w:szCs w:val="32"/>
        </w:rPr>
        <w:t>一、收支预算的总体情况</w:t>
      </w:r>
    </w:p>
    <w:p w14:paraId="268902BA">
      <w:pPr>
        <w:keepLines/>
        <w:widowControl/>
        <w:shd w:val="clear" w:color="auto" w:fill="FFFFFF"/>
        <w:ind w:firstLine="660"/>
        <w:jc w:val="left"/>
        <w:rPr>
          <w:rFonts w:ascii="Times New Roman" w:hAnsi="Times New Roman" w:eastAsia="微软雅黑" w:cs="Times New Roman"/>
          <w:color w:val="auto"/>
          <w:kern w:val="0"/>
          <w:sz w:val="24"/>
          <w:szCs w:val="24"/>
        </w:rPr>
      </w:pPr>
      <w:r>
        <w:rPr>
          <w:rFonts w:ascii="Times New Roman" w:hAnsi="Times New Roman" w:eastAsia="仿宋_GB2312" w:cs="Times New Roman"/>
          <w:color w:val="auto"/>
          <w:kern w:val="0"/>
          <w:sz w:val="32"/>
          <w:szCs w:val="32"/>
        </w:rPr>
        <w:t>按照综合预算的原则，本溪市溪湖区</w:t>
      </w:r>
      <w:r>
        <w:rPr>
          <w:rFonts w:hint="eastAsia" w:ascii="Times New Roman" w:hAnsi="Times New Roman" w:eastAsia="仿宋_GB2312" w:cs="Times New Roman"/>
          <w:color w:val="auto"/>
          <w:kern w:val="0"/>
          <w:sz w:val="32"/>
          <w:szCs w:val="32"/>
          <w:lang w:eastAsia="zh-CN"/>
        </w:rPr>
        <w:t>审计局</w:t>
      </w:r>
      <w:r>
        <w:rPr>
          <w:rFonts w:ascii="Times New Roman" w:hAnsi="Times New Roman" w:eastAsia="仿宋_GB2312" w:cs="Times New Roman"/>
          <w:color w:val="auto"/>
          <w:kern w:val="0"/>
          <w:sz w:val="32"/>
          <w:szCs w:val="32"/>
        </w:rPr>
        <w:t>所有收入和支出均纳入部门预算管理。其中：</w:t>
      </w:r>
    </w:p>
    <w:p w14:paraId="3DBCB531">
      <w:pPr>
        <w:keepLines/>
        <w:widowControl/>
        <w:shd w:val="clear" w:color="auto" w:fill="FFFFFF"/>
        <w:ind w:firstLine="660"/>
        <w:jc w:val="left"/>
        <w:rPr>
          <w:rFonts w:ascii="Times New Roman" w:hAnsi="Times New Roman" w:eastAsia="微软雅黑" w:cs="Times New Roman"/>
          <w:color w:val="auto"/>
          <w:kern w:val="0"/>
          <w:sz w:val="24"/>
          <w:szCs w:val="24"/>
        </w:rPr>
      </w:pPr>
      <w:r>
        <w:rPr>
          <w:rFonts w:ascii="Times New Roman" w:hAnsi="Times New Roman" w:eastAsia="仿宋_GB2312" w:cs="Times New Roman"/>
          <w:color w:val="auto"/>
          <w:kern w:val="0"/>
          <w:sz w:val="32"/>
          <w:szCs w:val="32"/>
        </w:rPr>
        <w:pict>
          <v:shape id="_x0000_s1029" o:spid="_x0000_s1029" o:spt="63" type="#_x0000_t63" style="position:absolute;left:0pt;margin-left:541.1pt;margin-top:21.2pt;height:79.55pt;width:104.65pt;z-index:251659264;mso-width-relative:page;mso-height-relative:page;" coordsize="21600,21600" adj="2322,21274">
            <v:path/>
            <v:fill focussize="0,0"/>
            <v:stroke joinstyle="miter"/>
            <v:imagedata o:title=""/>
            <o:lock v:ext="edit"/>
            <v:textbox>
              <w:txbxContent>
                <w:p w14:paraId="6E8197D7">
                  <w:pPr>
                    <w:rPr>
                      <w:szCs w:val="21"/>
                    </w:rPr>
                  </w:pPr>
                  <w:r>
                    <w:rPr>
                      <w:rFonts w:hint="eastAsia"/>
                      <w:szCs w:val="21"/>
                      <w:highlight w:val="yellow"/>
                    </w:rPr>
                    <w:t>按照预算公开表“收支1”表填写</w:t>
                  </w:r>
                </w:p>
              </w:txbxContent>
            </v:textbox>
          </v:shape>
        </w:pict>
      </w:r>
      <w:r>
        <w:rPr>
          <w:rFonts w:ascii="Times New Roman" w:hAnsi="Times New Roman" w:eastAsia="仿宋_GB2312" w:cs="Times New Roman"/>
          <w:b/>
          <w:bCs/>
          <w:color w:val="auto"/>
          <w:kern w:val="0"/>
          <w:sz w:val="32"/>
          <w:szCs w:val="32"/>
        </w:rPr>
        <w:t>（一）收入预算</w:t>
      </w:r>
      <w:r>
        <w:rPr>
          <w:rFonts w:hint="eastAsia" w:ascii="Times New Roman" w:hAnsi="Times New Roman" w:eastAsia="仿宋_GB2312" w:cs="Times New Roman"/>
          <w:color w:val="auto"/>
          <w:kern w:val="0"/>
          <w:sz w:val="32"/>
          <w:szCs w:val="32"/>
          <w:lang w:val="en-US" w:eastAsia="zh-CN"/>
        </w:rPr>
        <w:t>292.85</w:t>
      </w:r>
      <w:r>
        <w:rPr>
          <w:rFonts w:ascii="Times New Roman" w:hAnsi="Times New Roman" w:eastAsia="仿宋_GB2312" w:cs="Times New Roman"/>
          <w:b/>
          <w:bCs/>
          <w:color w:val="auto"/>
          <w:kern w:val="0"/>
          <w:sz w:val="32"/>
          <w:szCs w:val="32"/>
        </w:rPr>
        <w:t>万元，</w:t>
      </w:r>
      <w:r>
        <w:rPr>
          <w:rFonts w:ascii="Times New Roman" w:hAnsi="Times New Roman" w:eastAsia="仿宋_GB2312" w:cs="Times New Roman"/>
          <w:color w:val="auto"/>
          <w:kern w:val="0"/>
          <w:sz w:val="32"/>
          <w:szCs w:val="32"/>
        </w:rPr>
        <w:t>包括：</w:t>
      </w:r>
    </w:p>
    <w:p w14:paraId="09A4A1C8">
      <w:pPr>
        <w:keepLines/>
        <w:widowControl/>
        <w:shd w:val="clear" w:color="auto" w:fill="FFFFFF"/>
        <w:ind w:firstLine="660"/>
        <w:jc w:val="left"/>
        <w:rPr>
          <w:rFonts w:ascii="Times New Roman" w:hAnsi="Times New Roman" w:eastAsia="微软雅黑" w:cs="Times New Roman"/>
          <w:color w:val="auto"/>
          <w:kern w:val="0"/>
          <w:sz w:val="24"/>
          <w:szCs w:val="24"/>
        </w:rPr>
      </w:pPr>
      <w:r>
        <w:rPr>
          <w:rFonts w:ascii="Times New Roman" w:hAnsi="Times New Roman" w:eastAsia="仿宋_GB2312" w:cs="Times New Roman"/>
          <w:color w:val="auto"/>
          <w:kern w:val="0"/>
          <w:sz w:val="32"/>
          <w:szCs w:val="32"/>
        </w:rPr>
        <w:t>1.</w:t>
      </w:r>
      <w:r>
        <w:rPr>
          <w:rFonts w:ascii="Times New Roman" w:hAnsi="Times New Roman" w:cs="Times New Roman"/>
          <w:color w:val="auto"/>
        </w:rPr>
        <w:t xml:space="preserve"> </w:t>
      </w:r>
      <w:r>
        <w:rPr>
          <w:rFonts w:ascii="Times New Roman" w:hAnsi="Times New Roman" w:eastAsia="仿宋_GB2312" w:cs="Times New Roman"/>
          <w:color w:val="auto"/>
          <w:kern w:val="0"/>
          <w:sz w:val="32"/>
          <w:szCs w:val="32"/>
        </w:rPr>
        <w:t>一般公共预算拨款收入</w:t>
      </w:r>
      <w:r>
        <w:rPr>
          <w:rFonts w:hint="eastAsia" w:ascii="Times New Roman" w:hAnsi="Times New Roman" w:eastAsia="仿宋_GB2312" w:cs="Times New Roman"/>
          <w:color w:val="auto"/>
          <w:kern w:val="0"/>
          <w:sz w:val="32"/>
          <w:szCs w:val="32"/>
          <w:lang w:val="en-US" w:eastAsia="zh-CN"/>
        </w:rPr>
        <w:t>292.85</w:t>
      </w:r>
      <w:r>
        <w:rPr>
          <w:rFonts w:ascii="Times New Roman" w:hAnsi="Times New Roman" w:eastAsia="仿宋_GB2312" w:cs="Times New Roman"/>
          <w:color w:val="auto"/>
          <w:kern w:val="0"/>
          <w:sz w:val="32"/>
          <w:szCs w:val="32"/>
        </w:rPr>
        <w:t>万元；</w:t>
      </w:r>
    </w:p>
    <w:p w14:paraId="530647CF">
      <w:pPr>
        <w:keepLines/>
        <w:widowControl/>
        <w:shd w:val="clear" w:color="auto" w:fill="FFFFFF"/>
        <w:ind w:firstLine="660"/>
        <w:jc w:val="left"/>
        <w:rPr>
          <w:rFonts w:ascii="Times New Roman" w:hAnsi="Times New Roman" w:eastAsia="微软雅黑" w:cs="Times New Roman"/>
          <w:color w:val="auto"/>
          <w:kern w:val="0"/>
          <w:sz w:val="24"/>
          <w:szCs w:val="24"/>
        </w:rPr>
      </w:pPr>
      <w:r>
        <w:rPr>
          <w:rFonts w:ascii="Times New Roman" w:hAnsi="Times New Roman" w:eastAsia="仿宋_GB2312" w:cs="Times New Roman"/>
          <w:color w:val="auto"/>
          <w:kern w:val="0"/>
          <w:sz w:val="32"/>
          <w:szCs w:val="32"/>
        </w:rPr>
        <w:t>2.纳入预算管理的政府性基金预算拨款收入0万元；</w:t>
      </w:r>
    </w:p>
    <w:p w14:paraId="53BBF6D2">
      <w:pPr>
        <w:keepLines/>
        <w:widowControl/>
        <w:shd w:val="clear" w:color="auto" w:fill="FFFFFF"/>
        <w:ind w:firstLine="645"/>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3.纳入预算管理的国有资本经营预算拨款收入0万元；</w:t>
      </w:r>
    </w:p>
    <w:p w14:paraId="56B8EA92">
      <w:pPr>
        <w:keepLines/>
        <w:widowControl/>
        <w:shd w:val="clear" w:color="auto" w:fill="FFFFFF"/>
        <w:ind w:firstLine="645"/>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4.纳入财政专户管理资金收入0万元；</w:t>
      </w:r>
    </w:p>
    <w:p w14:paraId="2EA5CBA9">
      <w:pPr>
        <w:keepLines/>
        <w:widowControl/>
        <w:shd w:val="clear" w:color="auto" w:fill="FFFFFF"/>
        <w:ind w:firstLine="645"/>
        <w:jc w:val="left"/>
        <w:rPr>
          <w:rFonts w:ascii="Times New Roman" w:hAnsi="Times New Roman" w:eastAsia="微软雅黑" w:cs="Times New Roman"/>
          <w:color w:val="auto"/>
          <w:kern w:val="0"/>
          <w:sz w:val="24"/>
          <w:szCs w:val="24"/>
        </w:rPr>
      </w:pPr>
      <w:r>
        <w:rPr>
          <w:rFonts w:ascii="Times New Roman" w:hAnsi="Times New Roman" w:eastAsia="仿宋_GB2312" w:cs="Times New Roman"/>
          <w:color w:val="auto"/>
          <w:kern w:val="0"/>
          <w:sz w:val="32"/>
          <w:szCs w:val="32"/>
        </w:rPr>
        <w:t>5.单位资金收入0万元。</w:t>
      </w:r>
    </w:p>
    <w:p w14:paraId="3BED7DA4">
      <w:pPr>
        <w:keepLines/>
        <w:widowControl/>
        <w:shd w:val="clear" w:color="auto" w:fill="FFFFFF"/>
        <w:ind w:firstLine="660"/>
        <w:jc w:val="left"/>
        <w:rPr>
          <w:rFonts w:ascii="Times New Roman" w:hAnsi="Times New Roman" w:eastAsia="微软雅黑" w:cs="Times New Roman"/>
          <w:color w:val="auto"/>
          <w:kern w:val="0"/>
          <w:sz w:val="24"/>
          <w:szCs w:val="24"/>
        </w:rPr>
      </w:pPr>
      <w:r>
        <w:rPr>
          <w:rFonts w:ascii="Times New Roman" w:hAnsi="Times New Roman" w:eastAsia="仿宋_GB2312" w:cs="Times New Roman"/>
          <w:b/>
          <w:bCs/>
          <w:color w:val="auto"/>
          <w:kern w:val="0"/>
          <w:sz w:val="32"/>
          <w:szCs w:val="32"/>
        </w:rPr>
        <w:t>（二）支出预算</w:t>
      </w:r>
      <w:r>
        <w:rPr>
          <w:rFonts w:hint="eastAsia" w:ascii="Times New Roman" w:hAnsi="Times New Roman" w:eastAsia="仿宋_GB2312" w:cs="Times New Roman"/>
          <w:color w:val="auto"/>
          <w:kern w:val="0"/>
          <w:sz w:val="32"/>
          <w:szCs w:val="32"/>
          <w:lang w:val="en-US" w:eastAsia="zh-CN"/>
        </w:rPr>
        <w:t>269.69</w:t>
      </w:r>
      <w:r>
        <w:rPr>
          <w:rFonts w:ascii="Times New Roman" w:hAnsi="Times New Roman" w:eastAsia="仿宋_GB2312" w:cs="Times New Roman"/>
          <w:b/>
          <w:bCs/>
          <w:color w:val="auto"/>
          <w:kern w:val="0"/>
          <w:sz w:val="32"/>
          <w:szCs w:val="32"/>
        </w:rPr>
        <w:t>万元，</w:t>
      </w:r>
      <w:r>
        <w:rPr>
          <w:rFonts w:ascii="Times New Roman" w:hAnsi="Times New Roman" w:eastAsia="仿宋_GB2312" w:cs="Times New Roman"/>
          <w:color w:val="auto"/>
          <w:kern w:val="0"/>
          <w:sz w:val="32"/>
          <w:szCs w:val="32"/>
        </w:rPr>
        <w:t>包括：</w:t>
      </w:r>
    </w:p>
    <w:p w14:paraId="4BDCB349">
      <w:pPr>
        <w:keepLines/>
        <w:widowControl/>
        <w:shd w:val="clear" w:color="auto" w:fill="FFFFFF"/>
        <w:ind w:firstLine="660"/>
        <w:jc w:val="left"/>
        <w:rPr>
          <w:rFonts w:ascii="Times New Roman" w:hAnsi="Times New Roman" w:eastAsia="微软雅黑" w:cs="Times New Roman"/>
          <w:color w:val="auto"/>
          <w:kern w:val="0"/>
          <w:sz w:val="24"/>
          <w:szCs w:val="24"/>
        </w:rPr>
      </w:pPr>
      <w:r>
        <w:rPr>
          <w:rFonts w:ascii="Times New Roman" w:hAnsi="Times New Roman" w:eastAsia="仿宋_GB2312" w:cs="Times New Roman"/>
          <w:color w:val="auto"/>
          <w:kern w:val="0"/>
          <w:sz w:val="32"/>
          <w:szCs w:val="32"/>
        </w:rPr>
        <w:t>1.基本支出</w:t>
      </w:r>
      <w:r>
        <w:rPr>
          <w:rFonts w:hint="eastAsia" w:ascii="Times New Roman" w:hAnsi="Times New Roman" w:eastAsia="仿宋_GB2312" w:cs="Times New Roman"/>
          <w:color w:val="auto"/>
          <w:kern w:val="0"/>
          <w:sz w:val="32"/>
          <w:szCs w:val="32"/>
          <w:lang w:val="en-US" w:eastAsia="zh-CN"/>
        </w:rPr>
        <w:t>100.85</w:t>
      </w:r>
      <w:r>
        <w:rPr>
          <w:rFonts w:ascii="Times New Roman" w:hAnsi="Times New Roman" w:eastAsia="仿宋_GB2312" w:cs="Times New Roman"/>
          <w:color w:val="auto"/>
          <w:kern w:val="0"/>
          <w:sz w:val="32"/>
          <w:szCs w:val="32"/>
        </w:rPr>
        <w:t>万元,</w:t>
      </w:r>
      <w:r>
        <w:rPr>
          <w:rFonts w:ascii="Times New Roman" w:hAnsi="Times New Roman" w:eastAsia="仿宋_GB2312" w:cs="Times New Roman"/>
          <w:color w:val="auto"/>
          <w:sz w:val="32"/>
          <w:szCs w:val="32"/>
        </w:rPr>
        <w:t xml:space="preserve"> 其中：人员经费</w:t>
      </w:r>
      <w:r>
        <w:rPr>
          <w:rFonts w:hint="eastAsia" w:ascii="Times New Roman" w:hAnsi="Times New Roman" w:eastAsia="仿宋_GB2312" w:cs="Times New Roman"/>
          <w:color w:val="auto"/>
          <w:sz w:val="32"/>
          <w:szCs w:val="32"/>
          <w:lang w:val="en-US" w:eastAsia="zh-CN"/>
        </w:rPr>
        <w:t>99.49</w:t>
      </w:r>
      <w:r>
        <w:rPr>
          <w:rFonts w:ascii="Times New Roman" w:hAnsi="Times New Roman" w:eastAsia="仿宋_GB2312" w:cs="Times New Roman"/>
          <w:color w:val="auto"/>
          <w:sz w:val="32"/>
          <w:szCs w:val="32"/>
        </w:rPr>
        <w:t>万元，公用经费</w:t>
      </w:r>
      <w:r>
        <w:rPr>
          <w:rFonts w:hint="eastAsia" w:ascii="Times New Roman" w:hAnsi="Times New Roman" w:eastAsia="仿宋_GB2312" w:cs="Times New Roman"/>
          <w:color w:val="auto"/>
          <w:sz w:val="32"/>
          <w:szCs w:val="32"/>
          <w:lang w:val="en-US" w:eastAsia="zh-CN"/>
        </w:rPr>
        <w:t>1.36</w:t>
      </w:r>
      <w:r>
        <w:rPr>
          <w:rFonts w:ascii="Times New Roman" w:hAnsi="Times New Roman" w:eastAsia="仿宋_GB2312" w:cs="Times New Roman"/>
          <w:color w:val="auto"/>
          <w:sz w:val="32"/>
          <w:szCs w:val="32"/>
        </w:rPr>
        <w:t>万元</w:t>
      </w:r>
      <w:r>
        <w:rPr>
          <w:rFonts w:ascii="Times New Roman" w:hAnsi="Times New Roman" w:eastAsia="仿宋_GB2312" w:cs="Times New Roman"/>
          <w:color w:val="auto"/>
          <w:kern w:val="0"/>
          <w:sz w:val="32"/>
          <w:szCs w:val="32"/>
        </w:rPr>
        <w:t>；</w:t>
      </w:r>
    </w:p>
    <w:p w14:paraId="5531320D">
      <w:pPr>
        <w:keepLines/>
        <w:widowControl/>
        <w:shd w:val="clear" w:color="auto" w:fill="FFFFFF"/>
        <w:ind w:firstLine="660"/>
        <w:jc w:val="left"/>
        <w:rPr>
          <w:rFonts w:ascii="Times New Roman" w:hAnsi="Times New Roman" w:eastAsia="微软雅黑" w:cs="Times New Roman"/>
          <w:color w:val="auto"/>
          <w:kern w:val="0"/>
          <w:sz w:val="24"/>
          <w:szCs w:val="24"/>
        </w:rPr>
      </w:pPr>
      <w:r>
        <w:rPr>
          <w:rFonts w:ascii="Times New Roman" w:hAnsi="Times New Roman" w:eastAsia="仿宋_GB2312" w:cs="Times New Roman"/>
          <w:color w:val="auto"/>
          <w:kern w:val="0"/>
          <w:sz w:val="32"/>
          <w:szCs w:val="32"/>
        </w:rPr>
        <w:t>2.项目支出</w:t>
      </w:r>
      <w:r>
        <w:rPr>
          <w:rFonts w:hint="eastAsia" w:ascii="Times New Roman" w:hAnsi="Times New Roman" w:eastAsia="仿宋_GB2312" w:cs="Times New Roman"/>
          <w:color w:val="auto"/>
          <w:kern w:val="0"/>
          <w:sz w:val="32"/>
          <w:szCs w:val="32"/>
          <w:lang w:val="en-US" w:eastAsia="zh-CN"/>
        </w:rPr>
        <w:t>192</w:t>
      </w:r>
      <w:r>
        <w:rPr>
          <w:rFonts w:ascii="Times New Roman" w:hAnsi="Times New Roman" w:eastAsia="仿宋_GB2312" w:cs="Times New Roman"/>
          <w:color w:val="auto"/>
          <w:kern w:val="0"/>
          <w:sz w:val="32"/>
          <w:szCs w:val="32"/>
        </w:rPr>
        <w:t>万元</w:t>
      </w:r>
      <w:r>
        <w:rPr>
          <w:rFonts w:ascii="Times New Roman" w:hAnsi="Times New Roman" w:eastAsia="仿宋_GB2312" w:cs="Times New Roman"/>
          <w:color w:val="auto"/>
          <w:sz w:val="32"/>
          <w:szCs w:val="32"/>
        </w:rPr>
        <w:t>。</w:t>
      </w:r>
    </w:p>
    <w:p w14:paraId="390B169E">
      <w:pPr>
        <w:keepLines/>
        <w:widowControl/>
        <w:shd w:val="clear" w:color="auto" w:fill="FFFFFF"/>
        <w:ind w:firstLine="645"/>
        <w:jc w:val="left"/>
        <w:rPr>
          <w:rFonts w:hint="default" w:ascii="Times New Roman" w:hAnsi="Times New Roman" w:eastAsia="仿宋_GB2312" w:cs="Times New Roman"/>
          <w:color w:val="auto"/>
          <w:kern w:val="0"/>
          <w:sz w:val="24"/>
          <w:szCs w:val="24"/>
          <w:lang w:val="en-US" w:eastAsia="zh-CN"/>
        </w:rPr>
      </w:pPr>
      <w:r>
        <w:rPr>
          <w:rFonts w:ascii="Times New Roman" w:hAnsi="Times New Roman" w:eastAsia="仿宋_GB2312" w:cs="Times New Roman"/>
          <w:color w:val="auto"/>
          <w:kern w:val="0"/>
          <w:sz w:val="32"/>
          <w:szCs w:val="32"/>
        </w:rPr>
        <w:t>2024年预算收支比2023年</w:t>
      </w:r>
      <w:r>
        <w:rPr>
          <w:rFonts w:hint="eastAsia" w:ascii="Times New Roman" w:hAnsi="Times New Roman" w:eastAsia="仿宋_GB2312" w:cs="Times New Roman"/>
          <w:color w:val="auto"/>
          <w:kern w:val="0"/>
          <w:sz w:val="32"/>
          <w:szCs w:val="32"/>
        </w:rPr>
        <w:t>增加</w:t>
      </w:r>
      <w:r>
        <w:rPr>
          <w:rFonts w:hint="eastAsia" w:ascii="Times New Roman" w:hAnsi="Times New Roman" w:eastAsia="仿宋_GB2312" w:cs="Times New Roman"/>
          <w:color w:val="auto"/>
          <w:kern w:val="0"/>
          <w:sz w:val="32"/>
          <w:szCs w:val="32"/>
          <w:lang w:val="en-US" w:eastAsia="zh-CN"/>
        </w:rPr>
        <w:t>81.82</w:t>
      </w:r>
      <w:r>
        <w:rPr>
          <w:rFonts w:hint="eastAsia" w:ascii="Times New Roman" w:hAnsi="Times New Roman" w:eastAsia="仿宋_GB2312" w:cs="Times New Roman"/>
          <w:color w:val="auto"/>
          <w:kern w:val="0"/>
          <w:sz w:val="32"/>
          <w:szCs w:val="32"/>
        </w:rPr>
        <w:t>万元，增加的主要变化原因</w:t>
      </w:r>
      <w:r>
        <w:rPr>
          <w:rFonts w:ascii="Times New Roman" w:hAnsi="Times New Roman" w:eastAsia="仿宋_GB2312" w:cs="Times New Roman"/>
          <w:color w:val="auto"/>
          <w:kern w:val="0"/>
          <w:sz w:val="32"/>
          <w:szCs w:val="32"/>
        </w:rPr>
        <w:t>为</w:t>
      </w:r>
      <w:r>
        <w:rPr>
          <w:rFonts w:hint="eastAsia" w:ascii="Times New Roman" w:hAnsi="Times New Roman" w:eastAsia="仿宋_GB2312" w:cs="Times New Roman"/>
          <w:color w:val="auto"/>
          <w:sz w:val="32"/>
          <w:szCs w:val="32"/>
          <w:lang w:val="en-US" w:eastAsia="zh-CN"/>
        </w:rPr>
        <w:t>人员增加，审计项目增加。</w:t>
      </w:r>
    </w:p>
    <w:p w14:paraId="5764A84C">
      <w:pPr>
        <w:keepLines/>
        <w:widowControl/>
        <w:shd w:val="clear" w:color="auto" w:fill="FFFFFF"/>
        <w:ind w:firstLine="660"/>
        <w:jc w:val="left"/>
        <w:rPr>
          <w:rFonts w:ascii="Times New Roman" w:hAnsi="Times New Roman" w:eastAsia="黑体" w:cs="Times New Roman"/>
          <w:color w:val="auto"/>
          <w:kern w:val="0"/>
          <w:sz w:val="32"/>
          <w:szCs w:val="32"/>
        </w:rPr>
      </w:pPr>
    </w:p>
    <w:p w14:paraId="48675002">
      <w:pPr>
        <w:keepLines/>
        <w:widowControl/>
        <w:shd w:val="clear" w:color="auto" w:fill="FFFFFF"/>
        <w:ind w:firstLine="660"/>
        <w:jc w:val="left"/>
        <w:rPr>
          <w:rFonts w:ascii="Times New Roman" w:hAnsi="Times New Roman" w:eastAsia="黑体" w:cs="Times New Roman"/>
          <w:color w:val="auto"/>
          <w:kern w:val="0"/>
          <w:sz w:val="32"/>
          <w:szCs w:val="32"/>
        </w:rPr>
      </w:pPr>
    </w:p>
    <w:p w14:paraId="7680D56A">
      <w:pPr>
        <w:keepLines/>
        <w:widowControl/>
        <w:shd w:val="clear" w:color="auto" w:fill="FFFFFF"/>
        <w:ind w:firstLine="660"/>
        <w:jc w:val="left"/>
        <w:rPr>
          <w:rFonts w:cs="Times New Roman" w:asciiTheme="majorEastAsia" w:hAnsiTheme="majorEastAsia" w:eastAsiaTheme="majorEastAsia"/>
          <w:color w:val="auto"/>
          <w:kern w:val="0"/>
          <w:szCs w:val="21"/>
        </w:rPr>
      </w:pPr>
      <w:r>
        <w:rPr>
          <w:rFonts w:ascii="Times New Roman" w:hAnsi="黑体" w:eastAsia="黑体" w:cs="Times New Roman"/>
          <w:color w:val="auto"/>
          <w:kern w:val="0"/>
          <w:sz w:val="32"/>
          <w:szCs w:val="32"/>
        </w:rPr>
        <w:t>二、机关运行经费安排情况</w:t>
      </w:r>
    </w:p>
    <w:p w14:paraId="66F70C12">
      <w:pPr>
        <w:keepLines/>
        <w:widowControl/>
        <w:shd w:val="clear" w:color="auto" w:fill="FFFFFF"/>
        <w:ind w:firstLine="645"/>
        <w:jc w:val="left"/>
        <w:rPr>
          <w:rFonts w:hint="default" w:ascii="Times New Roman" w:hAnsi="Times New Roman" w:eastAsia="仿宋_GB2312" w:cs="Times New Roman"/>
          <w:color w:val="auto"/>
          <w:kern w:val="0"/>
          <w:sz w:val="24"/>
          <w:szCs w:val="24"/>
          <w:lang w:val="en-US" w:eastAsia="zh-CN"/>
        </w:rPr>
      </w:pPr>
      <w:r>
        <w:rPr>
          <w:rFonts w:ascii="Times New Roman" w:hAnsi="Times New Roman" w:eastAsia="仿宋_GB2312" w:cs="Times New Roman"/>
          <w:color w:val="auto"/>
          <w:kern w:val="0"/>
          <w:sz w:val="32"/>
          <w:szCs w:val="32"/>
        </w:rPr>
        <w:t>2024年本溪市溪湖区</w:t>
      </w:r>
      <w:r>
        <w:rPr>
          <w:rFonts w:hint="eastAsia" w:ascii="Times New Roman" w:hAnsi="Times New Roman" w:eastAsia="仿宋_GB2312" w:cs="Times New Roman"/>
          <w:color w:val="auto"/>
          <w:kern w:val="0"/>
          <w:sz w:val="32"/>
          <w:szCs w:val="32"/>
          <w:lang w:eastAsia="zh-CN"/>
        </w:rPr>
        <w:t>审计局</w:t>
      </w:r>
      <w:r>
        <w:rPr>
          <w:rFonts w:ascii="Times New Roman" w:hAnsi="Times New Roman" w:eastAsia="仿宋_GB2312" w:cs="Times New Roman"/>
          <w:color w:val="auto"/>
          <w:kern w:val="0"/>
          <w:sz w:val="32"/>
          <w:szCs w:val="32"/>
        </w:rPr>
        <w:t>机关运行经费预算为</w:t>
      </w:r>
      <w:r>
        <w:rPr>
          <w:rFonts w:hint="eastAsia" w:ascii="Times New Roman" w:hAnsi="Times New Roman" w:eastAsia="仿宋_GB2312" w:cs="Times New Roman"/>
          <w:color w:val="auto"/>
          <w:sz w:val="32"/>
          <w:szCs w:val="32"/>
          <w:lang w:val="en-US" w:eastAsia="zh-CN"/>
        </w:rPr>
        <w:t>77.69</w:t>
      </w:r>
      <w:r>
        <w:rPr>
          <w:rFonts w:ascii="Times New Roman" w:hAnsi="Times New Roman" w:eastAsia="仿宋_GB2312" w:cs="Times New Roman"/>
          <w:color w:val="auto"/>
          <w:kern w:val="0"/>
          <w:sz w:val="32"/>
          <w:szCs w:val="32"/>
        </w:rPr>
        <w:t>万元，主要包括办公及印刷费、邮电费、差旅费、会议费、福利费、日常维修费、专用材料及一般设备购置费2024年预算比2023年</w:t>
      </w:r>
      <w:r>
        <w:rPr>
          <w:rFonts w:hint="eastAsia" w:ascii="Times New Roman" w:hAnsi="Times New Roman" w:eastAsia="仿宋_GB2312" w:cs="Times New Roman"/>
          <w:color w:val="auto"/>
          <w:kern w:val="0"/>
          <w:sz w:val="32"/>
          <w:szCs w:val="32"/>
        </w:rPr>
        <w:t>增加</w:t>
      </w:r>
      <w:r>
        <w:rPr>
          <w:rFonts w:hint="eastAsia" w:ascii="Times New Roman" w:hAnsi="Times New Roman" w:eastAsia="仿宋_GB2312" w:cs="Times New Roman"/>
          <w:color w:val="auto"/>
          <w:kern w:val="0"/>
          <w:sz w:val="32"/>
          <w:szCs w:val="32"/>
          <w:lang w:val="en-US" w:eastAsia="zh-CN"/>
        </w:rPr>
        <w:t>12.06</w:t>
      </w:r>
      <w:r>
        <w:rPr>
          <w:rFonts w:ascii="Times New Roman" w:hAnsi="Times New Roman" w:eastAsia="仿宋_GB2312" w:cs="Times New Roman"/>
          <w:color w:val="auto"/>
          <w:kern w:val="0"/>
          <w:sz w:val="32"/>
          <w:szCs w:val="32"/>
        </w:rPr>
        <w:t>万元，主要原因是</w:t>
      </w:r>
      <w:r>
        <w:rPr>
          <w:rFonts w:hint="eastAsia" w:ascii="Times New Roman" w:hAnsi="Times New Roman" w:eastAsia="仿宋_GB2312" w:cs="Times New Roman"/>
          <w:color w:val="auto"/>
          <w:kern w:val="0"/>
          <w:sz w:val="32"/>
          <w:szCs w:val="32"/>
          <w:lang w:val="en-US" w:eastAsia="zh-CN"/>
        </w:rPr>
        <w:t>人员增加，审计业务增加，日常办公费用增加。</w:t>
      </w:r>
    </w:p>
    <w:p w14:paraId="1A15344F">
      <w:pPr>
        <w:keepLines/>
        <w:widowControl/>
        <w:shd w:val="clear" w:color="auto" w:fill="FFFFFF"/>
        <w:ind w:firstLine="660"/>
        <w:jc w:val="left"/>
        <w:rPr>
          <w:rFonts w:ascii="Times New Roman" w:hAnsi="Times New Roman" w:eastAsia="微软雅黑" w:cs="Times New Roman"/>
          <w:color w:val="auto"/>
          <w:kern w:val="0"/>
          <w:sz w:val="24"/>
          <w:szCs w:val="24"/>
        </w:rPr>
      </w:pPr>
      <w:r>
        <w:rPr>
          <w:rFonts w:ascii="Times New Roman" w:hAnsi="黑体" w:eastAsia="黑体" w:cs="Times New Roman"/>
          <w:color w:val="auto"/>
          <w:kern w:val="0"/>
          <w:sz w:val="32"/>
          <w:szCs w:val="32"/>
        </w:rPr>
        <w:t>三、政府采购情况</w:t>
      </w:r>
    </w:p>
    <w:p w14:paraId="555B8C4B">
      <w:pPr>
        <w:keepLines/>
        <w:widowControl/>
        <w:shd w:val="clear" w:color="auto" w:fill="FFFFFF"/>
        <w:ind w:firstLine="645"/>
        <w:jc w:val="left"/>
        <w:rPr>
          <w:rFonts w:ascii="Times New Roman" w:hAnsi="Times New Roman" w:eastAsia="微软雅黑" w:cs="Times New Roman"/>
          <w:color w:val="auto"/>
          <w:kern w:val="0"/>
          <w:sz w:val="24"/>
          <w:szCs w:val="24"/>
        </w:rPr>
      </w:pPr>
      <w:r>
        <w:rPr>
          <w:rFonts w:ascii="Times New Roman" w:hAnsi="Times New Roman" w:eastAsia="仿宋_GB2312" w:cs="Times New Roman"/>
          <w:color w:val="auto"/>
          <w:kern w:val="0"/>
          <w:sz w:val="32"/>
          <w:szCs w:val="32"/>
        </w:rPr>
        <w:t>2024年本溪市溪湖区</w:t>
      </w:r>
      <w:r>
        <w:rPr>
          <w:rFonts w:hint="eastAsia" w:ascii="Times New Roman" w:hAnsi="Times New Roman" w:eastAsia="仿宋_GB2312" w:cs="Times New Roman"/>
          <w:color w:val="auto"/>
          <w:kern w:val="0"/>
          <w:sz w:val="32"/>
          <w:szCs w:val="32"/>
          <w:lang w:eastAsia="zh-CN"/>
        </w:rPr>
        <w:t>审计局</w:t>
      </w:r>
      <w:r>
        <w:rPr>
          <w:rFonts w:ascii="Times New Roman" w:hAnsi="Times New Roman" w:eastAsia="仿宋_GB2312" w:cs="Times New Roman"/>
          <w:color w:val="auto"/>
          <w:kern w:val="0"/>
          <w:sz w:val="32"/>
          <w:szCs w:val="32"/>
        </w:rPr>
        <w:t>安排政府采购预算0万元，其中：政府采购货物支出0万元，政府购买服务支出0万元，政府采购工程支出0万元。</w:t>
      </w:r>
    </w:p>
    <w:p w14:paraId="1371178D">
      <w:pPr>
        <w:keepLines/>
        <w:widowControl/>
        <w:shd w:val="clear" w:color="auto" w:fill="FFFFFF"/>
        <w:ind w:firstLine="660"/>
        <w:jc w:val="left"/>
        <w:rPr>
          <w:rFonts w:ascii="Times New Roman" w:hAnsi="Times New Roman" w:eastAsia="微软雅黑" w:cs="Times New Roman"/>
          <w:color w:val="auto"/>
          <w:kern w:val="0"/>
          <w:sz w:val="24"/>
          <w:szCs w:val="24"/>
        </w:rPr>
      </w:pPr>
      <w:r>
        <w:rPr>
          <w:rFonts w:ascii="Times New Roman" w:hAnsi="黑体" w:eastAsia="黑体" w:cs="Times New Roman"/>
          <w:color w:val="auto"/>
          <w:kern w:val="0"/>
          <w:sz w:val="32"/>
          <w:szCs w:val="32"/>
        </w:rPr>
        <w:t>四、</w:t>
      </w:r>
      <w:r>
        <w:rPr>
          <w:rFonts w:ascii="Times New Roman" w:hAnsi="Times New Roman" w:eastAsia="黑体" w:cs="Times New Roman"/>
          <w:color w:val="auto"/>
          <w:kern w:val="0"/>
          <w:sz w:val="32"/>
          <w:szCs w:val="32"/>
        </w:rPr>
        <w:t>“</w:t>
      </w:r>
      <w:r>
        <w:rPr>
          <w:rFonts w:ascii="Times New Roman" w:hAnsi="黑体" w:eastAsia="黑体" w:cs="Times New Roman"/>
          <w:color w:val="auto"/>
          <w:kern w:val="0"/>
          <w:sz w:val="32"/>
          <w:szCs w:val="32"/>
        </w:rPr>
        <w:t>三公</w:t>
      </w:r>
      <w:r>
        <w:rPr>
          <w:rFonts w:ascii="Times New Roman" w:hAnsi="Times New Roman" w:eastAsia="黑体" w:cs="Times New Roman"/>
          <w:color w:val="auto"/>
          <w:kern w:val="0"/>
          <w:sz w:val="32"/>
          <w:szCs w:val="32"/>
        </w:rPr>
        <w:t>”</w:t>
      </w:r>
      <w:r>
        <w:rPr>
          <w:rFonts w:ascii="Times New Roman" w:hAnsi="黑体" w:eastAsia="黑体" w:cs="Times New Roman"/>
          <w:color w:val="auto"/>
          <w:kern w:val="0"/>
          <w:sz w:val="32"/>
          <w:szCs w:val="32"/>
        </w:rPr>
        <w:t>经费预算情况</w:t>
      </w:r>
    </w:p>
    <w:p w14:paraId="226051BC">
      <w:pPr>
        <w:keepLines/>
        <w:widowControl/>
        <w:shd w:val="clear" w:color="auto" w:fill="FFFFFF"/>
        <w:ind w:firstLine="645"/>
        <w:jc w:val="left"/>
        <w:rPr>
          <w:rFonts w:ascii="Times New Roman" w:hAnsi="Times New Roman" w:eastAsia="微软雅黑" w:cs="Times New Roman"/>
          <w:color w:val="auto"/>
          <w:kern w:val="0"/>
          <w:sz w:val="24"/>
          <w:szCs w:val="24"/>
        </w:rPr>
      </w:pPr>
      <w:r>
        <w:rPr>
          <w:rFonts w:ascii="Times New Roman" w:hAnsi="Times New Roman" w:eastAsia="仿宋_GB2312" w:cs="Times New Roman"/>
          <w:color w:val="auto"/>
          <w:kern w:val="0"/>
          <w:sz w:val="32"/>
          <w:szCs w:val="32"/>
        </w:rPr>
        <w:t>2024年，本溪市溪湖区</w:t>
      </w:r>
      <w:r>
        <w:rPr>
          <w:rFonts w:hint="eastAsia" w:ascii="Times New Roman" w:hAnsi="Times New Roman" w:eastAsia="仿宋_GB2312" w:cs="Times New Roman"/>
          <w:color w:val="auto"/>
          <w:kern w:val="0"/>
          <w:sz w:val="32"/>
          <w:szCs w:val="32"/>
          <w:lang w:eastAsia="zh-CN"/>
        </w:rPr>
        <w:t>审计局</w:t>
      </w:r>
      <w:r>
        <w:rPr>
          <w:rFonts w:ascii="Times New Roman" w:hAnsi="Times New Roman" w:eastAsia="仿宋_GB2312" w:cs="Times New Roman"/>
          <w:color w:val="auto"/>
          <w:kern w:val="0"/>
          <w:sz w:val="32"/>
          <w:szCs w:val="32"/>
        </w:rPr>
        <w:t>一般公共预算安排“三公”经费预算为</w:t>
      </w:r>
      <w:r>
        <w:rPr>
          <w:rFonts w:hint="eastAsia" w:ascii="Times New Roman" w:hAnsi="Times New Roman" w:eastAsia="仿宋_GB2312" w:cs="Times New Roman"/>
          <w:color w:val="auto"/>
          <w:kern w:val="0"/>
          <w:sz w:val="32"/>
          <w:szCs w:val="32"/>
          <w:lang w:val="en-US" w:eastAsia="zh-CN"/>
        </w:rPr>
        <w:t>0</w:t>
      </w:r>
      <w:r>
        <w:rPr>
          <w:rFonts w:ascii="Times New Roman" w:hAnsi="Times New Roman" w:eastAsia="仿宋_GB2312" w:cs="Times New Roman"/>
          <w:color w:val="auto"/>
          <w:kern w:val="0"/>
          <w:sz w:val="32"/>
          <w:szCs w:val="32"/>
        </w:rPr>
        <w:t>万元，</w:t>
      </w:r>
      <w:r>
        <w:rPr>
          <w:rFonts w:hint="eastAsia" w:ascii="Times New Roman" w:hAnsi="Times New Roman" w:eastAsia="仿宋_GB2312" w:cs="Times New Roman"/>
          <w:color w:val="auto"/>
          <w:kern w:val="0"/>
          <w:sz w:val="32"/>
          <w:szCs w:val="32"/>
        </w:rPr>
        <w:t>与上年持平</w:t>
      </w:r>
      <w:r>
        <w:rPr>
          <w:rFonts w:ascii="Times New Roman" w:hAnsi="Times New Roman" w:eastAsia="仿宋_GB2312" w:cs="Times New Roman"/>
          <w:color w:val="auto"/>
          <w:kern w:val="0"/>
          <w:sz w:val="32"/>
          <w:szCs w:val="32"/>
        </w:rPr>
        <w:t>。其中：</w:t>
      </w:r>
    </w:p>
    <w:p w14:paraId="5D7DADCC">
      <w:pPr>
        <w:keepLines/>
        <w:widowControl/>
        <w:shd w:val="clear" w:color="auto" w:fill="FFFFFF"/>
        <w:ind w:firstLine="645"/>
        <w:jc w:val="left"/>
        <w:rPr>
          <w:rFonts w:ascii="Times New Roman" w:hAnsi="Times New Roman" w:eastAsia="微软雅黑" w:cs="Times New Roman"/>
          <w:color w:val="auto"/>
          <w:kern w:val="0"/>
          <w:sz w:val="24"/>
          <w:szCs w:val="24"/>
        </w:rPr>
      </w:pPr>
      <w:r>
        <w:rPr>
          <w:rFonts w:ascii="Times New Roman" w:hAnsi="Times New Roman" w:eastAsia="仿宋_GB2312" w:cs="Times New Roman"/>
          <w:color w:val="auto"/>
          <w:kern w:val="0"/>
          <w:sz w:val="32"/>
          <w:szCs w:val="32"/>
        </w:rPr>
        <w:t>1.因公出国（境）费0万元，比2023年持平。</w:t>
      </w:r>
    </w:p>
    <w:p w14:paraId="4919E68E">
      <w:pPr>
        <w:keepLines/>
        <w:widowControl/>
        <w:shd w:val="clear" w:color="auto" w:fill="FFFFFF"/>
        <w:ind w:firstLine="645"/>
        <w:jc w:val="left"/>
        <w:rPr>
          <w:rFonts w:ascii="Times New Roman" w:hAnsi="Times New Roman" w:eastAsia="微软雅黑" w:cs="Times New Roman"/>
          <w:color w:val="auto"/>
          <w:kern w:val="0"/>
          <w:sz w:val="24"/>
          <w:szCs w:val="24"/>
        </w:rPr>
      </w:pPr>
      <w:r>
        <w:rPr>
          <w:rFonts w:ascii="Times New Roman" w:hAnsi="Times New Roman" w:eastAsia="仿宋_GB2312" w:cs="Times New Roman"/>
          <w:color w:val="auto"/>
          <w:kern w:val="0"/>
          <w:sz w:val="32"/>
          <w:szCs w:val="32"/>
        </w:rPr>
        <w:t>2.公务接待费0万元，</w:t>
      </w:r>
      <w:r>
        <w:rPr>
          <w:rFonts w:hint="eastAsia" w:ascii="Times New Roman" w:hAnsi="Times New Roman" w:eastAsia="仿宋_GB2312" w:cs="Times New Roman"/>
          <w:color w:val="auto"/>
          <w:kern w:val="0"/>
          <w:sz w:val="32"/>
          <w:szCs w:val="32"/>
        </w:rPr>
        <w:t>与</w:t>
      </w:r>
      <w:r>
        <w:rPr>
          <w:rFonts w:ascii="Times New Roman" w:hAnsi="Times New Roman" w:eastAsia="仿宋_GB2312" w:cs="Times New Roman"/>
          <w:color w:val="auto"/>
          <w:kern w:val="0"/>
          <w:sz w:val="32"/>
          <w:szCs w:val="32"/>
        </w:rPr>
        <w:t>2023年持平。</w:t>
      </w:r>
    </w:p>
    <w:p w14:paraId="167CF0FC">
      <w:pPr>
        <w:keepLines/>
        <w:widowControl/>
        <w:shd w:val="clear" w:color="auto" w:fill="FFFFFF"/>
        <w:ind w:firstLine="645"/>
        <w:jc w:val="left"/>
        <w:rPr>
          <w:rFonts w:ascii="Times New Roman" w:hAnsi="Times New Roman" w:eastAsia="微软雅黑" w:cs="Times New Roman"/>
          <w:color w:val="auto"/>
          <w:kern w:val="0"/>
          <w:sz w:val="24"/>
          <w:szCs w:val="24"/>
        </w:rPr>
      </w:pPr>
      <w:r>
        <w:rPr>
          <w:rFonts w:ascii="Times New Roman" w:hAnsi="Times New Roman" w:eastAsia="仿宋_GB2312" w:cs="Times New Roman"/>
          <w:color w:val="auto"/>
          <w:kern w:val="0"/>
          <w:sz w:val="32"/>
          <w:szCs w:val="32"/>
        </w:rPr>
        <w:t>3.公务用车购置及运行费</w:t>
      </w:r>
      <w:r>
        <w:rPr>
          <w:rFonts w:hint="eastAsia" w:ascii="Times New Roman" w:hAnsi="Times New Roman" w:eastAsia="仿宋_GB2312" w:cs="Times New Roman"/>
          <w:color w:val="auto"/>
          <w:kern w:val="0"/>
          <w:sz w:val="32"/>
          <w:szCs w:val="32"/>
          <w:lang w:val="en-US" w:eastAsia="zh-CN"/>
        </w:rPr>
        <w:t>0</w:t>
      </w:r>
      <w:r>
        <w:rPr>
          <w:rFonts w:ascii="Times New Roman" w:hAnsi="Times New Roman" w:eastAsia="仿宋_GB2312" w:cs="Times New Roman"/>
          <w:color w:val="auto"/>
          <w:kern w:val="0"/>
          <w:sz w:val="32"/>
          <w:szCs w:val="32"/>
        </w:rPr>
        <w:t>万元，</w:t>
      </w:r>
      <w:r>
        <w:rPr>
          <w:rFonts w:hint="eastAsia" w:ascii="Times New Roman" w:hAnsi="Times New Roman" w:eastAsia="仿宋_GB2312" w:cs="Times New Roman"/>
          <w:color w:val="auto"/>
          <w:kern w:val="0"/>
          <w:sz w:val="32"/>
          <w:szCs w:val="32"/>
        </w:rPr>
        <w:t>与</w:t>
      </w:r>
      <w:r>
        <w:rPr>
          <w:rFonts w:ascii="Times New Roman" w:hAnsi="Times New Roman" w:eastAsia="仿宋_GB2312" w:cs="Times New Roman"/>
          <w:color w:val="auto"/>
          <w:kern w:val="0"/>
          <w:sz w:val="32"/>
          <w:szCs w:val="32"/>
        </w:rPr>
        <w:t>2023年持平。</w:t>
      </w:r>
    </w:p>
    <w:p w14:paraId="4645F6C2">
      <w:pPr>
        <w:keepLines/>
        <w:widowControl/>
        <w:shd w:val="clear" w:color="auto" w:fill="FFFFFF"/>
        <w:jc w:val="center"/>
        <w:rPr>
          <w:rFonts w:ascii="Times New Roman" w:hAnsi="Times New Roman" w:eastAsia="仿宋_GB2312" w:cs="Times New Roman"/>
          <w:b/>
          <w:bCs/>
          <w:color w:val="auto"/>
          <w:kern w:val="0"/>
          <w:sz w:val="32"/>
          <w:szCs w:val="32"/>
        </w:rPr>
      </w:pPr>
    </w:p>
    <w:p w14:paraId="63FB0FBA">
      <w:pPr>
        <w:keepLines/>
        <w:widowControl/>
        <w:shd w:val="clear" w:color="auto" w:fill="FFFFFF"/>
        <w:jc w:val="center"/>
        <w:rPr>
          <w:rFonts w:ascii="Times New Roman" w:hAnsi="Times New Roman" w:eastAsia="仿宋_GB2312" w:cs="Times New Roman"/>
          <w:b/>
          <w:bCs/>
          <w:color w:val="auto"/>
          <w:kern w:val="0"/>
          <w:sz w:val="32"/>
          <w:szCs w:val="32"/>
        </w:rPr>
      </w:pPr>
    </w:p>
    <w:p w14:paraId="367DDCDD">
      <w:pPr>
        <w:keepLines/>
        <w:widowControl/>
        <w:shd w:val="clear" w:color="auto" w:fill="FFFFFF"/>
        <w:jc w:val="center"/>
        <w:rPr>
          <w:rFonts w:ascii="Times New Roman" w:hAnsi="Times New Roman" w:eastAsia="仿宋_GB2312" w:cs="Times New Roman"/>
          <w:b/>
          <w:bCs/>
          <w:color w:val="auto"/>
          <w:kern w:val="0"/>
          <w:sz w:val="32"/>
          <w:szCs w:val="32"/>
        </w:rPr>
      </w:pPr>
    </w:p>
    <w:p w14:paraId="6FE2DD71">
      <w:pPr>
        <w:keepLines/>
        <w:widowControl/>
        <w:shd w:val="clear" w:color="auto" w:fill="FFFFFF"/>
        <w:jc w:val="center"/>
        <w:rPr>
          <w:rFonts w:ascii="Times New Roman" w:hAnsi="Times New Roman" w:eastAsia="仿宋_GB2312" w:cs="Times New Roman"/>
          <w:b/>
          <w:bCs/>
          <w:color w:val="auto"/>
          <w:kern w:val="0"/>
          <w:sz w:val="32"/>
          <w:szCs w:val="32"/>
        </w:rPr>
      </w:pPr>
    </w:p>
    <w:p w14:paraId="39FF047A">
      <w:pPr>
        <w:keepLines/>
        <w:widowControl/>
        <w:shd w:val="clear" w:color="auto" w:fill="FFFFFF"/>
        <w:jc w:val="center"/>
        <w:rPr>
          <w:rFonts w:ascii="Times New Roman" w:hAnsi="Times New Roman" w:eastAsia="微软雅黑" w:cs="Times New Roman"/>
          <w:color w:val="auto"/>
          <w:kern w:val="0"/>
          <w:sz w:val="24"/>
          <w:szCs w:val="24"/>
        </w:rPr>
      </w:pPr>
      <w:r>
        <w:rPr>
          <w:rFonts w:ascii="Times New Roman" w:hAnsi="Times New Roman" w:eastAsia="仿宋_GB2312" w:cs="Times New Roman"/>
          <w:b/>
          <w:bCs/>
          <w:color w:val="auto"/>
          <w:kern w:val="0"/>
          <w:sz w:val="32"/>
          <w:szCs w:val="32"/>
        </w:rPr>
        <w:t>2024年本溪市溪湖区</w:t>
      </w:r>
      <w:r>
        <w:rPr>
          <w:rFonts w:hint="eastAsia" w:ascii="Times New Roman" w:hAnsi="Times New Roman" w:eastAsia="仿宋_GB2312" w:cs="Times New Roman"/>
          <w:b/>
          <w:bCs/>
          <w:color w:val="auto"/>
          <w:kern w:val="0"/>
          <w:sz w:val="32"/>
          <w:szCs w:val="32"/>
          <w:lang w:eastAsia="zh-CN"/>
        </w:rPr>
        <w:t>审计局</w:t>
      </w:r>
      <w:r>
        <w:rPr>
          <w:rFonts w:ascii="Times New Roman" w:hAnsi="Times New Roman" w:eastAsia="仿宋_GB2312" w:cs="Times New Roman"/>
          <w:b/>
          <w:bCs/>
          <w:color w:val="auto"/>
          <w:kern w:val="0"/>
          <w:sz w:val="32"/>
          <w:szCs w:val="32"/>
        </w:rPr>
        <w:t>“三公”经费预算表</w:t>
      </w:r>
    </w:p>
    <w:p w14:paraId="4EFAADC6">
      <w:pPr>
        <w:keepLines/>
        <w:widowControl/>
        <w:shd w:val="clear" w:color="auto" w:fill="FFFFFF"/>
        <w:jc w:val="right"/>
        <w:rPr>
          <w:rFonts w:ascii="Times New Roman" w:hAnsi="Times New Roman" w:eastAsia="微软雅黑" w:cs="Times New Roman"/>
          <w:color w:val="auto"/>
          <w:kern w:val="0"/>
          <w:sz w:val="24"/>
          <w:szCs w:val="24"/>
        </w:rPr>
      </w:pPr>
      <w:r>
        <w:rPr>
          <w:rFonts w:ascii="Times New Roman" w:hAnsi="Times New Roman" w:eastAsia="仿宋_GB2312" w:cs="Times New Roman"/>
          <w:b/>
          <w:bCs/>
          <w:color w:val="auto"/>
          <w:kern w:val="0"/>
          <w:sz w:val="29"/>
          <w:szCs w:val="29"/>
        </w:rPr>
        <w:t>单位：万元</w:t>
      </w:r>
    </w:p>
    <w:tbl>
      <w:tblPr>
        <w:tblStyle w:val="5"/>
        <w:tblW w:w="8625" w:type="dxa"/>
        <w:tblInd w:w="0" w:type="dxa"/>
        <w:tblLayout w:type="autofit"/>
        <w:tblCellMar>
          <w:top w:w="0" w:type="dxa"/>
          <w:left w:w="0" w:type="dxa"/>
          <w:bottom w:w="0" w:type="dxa"/>
          <w:right w:w="0" w:type="dxa"/>
        </w:tblCellMar>
      </w:tblPr>
      <w:tblGrid>
        <w:gridCol w:w="4125"/>
        <w:gridCol w:w="2145"/>
        <w:gridCol w:w="2355"/>
      </w:tblGrid>
      <w:tr w14:paraId="52C0EADC">
        <w:tblPrEx>
          <w:tblCellMar>
            <w:top w:w="0" w:type="dxa"/>
            <w:left w:w="0" w:type="dxa"/>
            <w:bottom w:w="0" w:type="dxa"/>
            <w:right w:w="0" w:type="dxa"/>
          </w:tblCellMar>
        </w:tblPrEx>
        <w:trPr>
          <w:trHeight w:val="480" w:hRule="atLeast"/>
        </w:trPr>
        <w:tc>
          <w:tcPr>
            <w:tcW w:w="4125" w:type="dxa"/>
            <w:vMerge w:val="restart"/>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14:paraId="35C1AD2A">
            <w:pPr>
              <w:keepLines/>
              <w:widowControl/>
              <w:jc w:val="center"/>
              <w:textAlignment w:val="center"/>
              <w:rPr>
                <w:rFonts w:ascii="Times New Roman" w:hAnsi="Times New Roman" w:eastAsia="宋体" w:cs="Times New Roman"/>
                <w:color w:val="auto"/>
                <w:kern w:val="0"/>
                <w:sz w:val="24"/>
                <w:szCs w:val="24"/>
              </w:rPr>
            </w:pPr>
            <w:r>
              <w:rPr>
                <w:rFonts w:ascii="Times New Roman" w:hAnsi="宋体" w:eastAsia="宋体" w:cs="Times New Roman"/>
                <w:b/>
                <w:bCs/>
                <w:color w:val="auto"/>
                <w:kern w:val="0"/>
                <w:sz w:val="24"/>
                <w:szCs w:val="24"/>
              </w:rPr>
              <w:t>项目</w:t>
            </w:r>
          </w:p>
        </w:tc>
        <w:tc>
          <w:tcPr>
            <w:tcW w:w="4500" w:type="dxa"/>
            <w:gridSpan w:val="2"/>
            <w:tcBorders>
              <w:top w:val="single" w:color="000000" w:sz="6" w:space="0"/>
              <w:left w:val="nil"/>
              <w:bottom w:val="single" w:color="DDDDDD" w:sz="6" w:space="0"/>
              <w:right w:val="single" w:color="000000" w:sz="6" w:space="0"/>
            </w:tcBorders>
            <w:tcMar>
              <w:top w:w="15" w:type="dxa"/>
              <w:left w:w="15" w:type="dxa"/>
              <w:bottom w:w="15" w:type="dxa"/>
              <w:right w:w="15" w:type="dxa"/>
            </w:tcMar>
            <w:vAlign w:val="center"/>
          </w:tcPr>
          <w:p w14:paraId="109BD6D7">
            <w:pPr>
              <w:keepLines/>
              <w:widowControl/>
              <w:jc w:val="center"/>
              <w:rPr>
                <w:rFonts w:ascii="Times New Roman" w:hAnsi="Times New Roman" w:eastAsia="宋体" w:cs="Times New Roman"/>
                <w:color w:val="auto"/>
                <w:kern w:val="0"/>
                <w:sz w:val="24"/>
                <w:szCs w:val="24"/>
              </w:rPr>
            </w:pPr>
            <w:r>
              <w:rPr>
                <w:rFonts w:ascii="Times New Roman" w:hAnsi="宋体" w:eastAsia="宋体" w:cs="Times New Roman"/>
                <w:b/>
                <w:bCs/>
                <w:color w:val="auto"/>
                <w:kern w:val="0"/>
                <w:sz w:val="24"/>
                <w:szCs w:val="24"/>
              </w:rPr>
              <w:t>金额</w:t>
            </w:r>
          </w:p>
        </w:tc>
      </w:tr>
      <w:tr w14:paraId="4C1348AC">
        <w:tblPrEx>
          <w:tblCellMar>
            <w:top w:w="0" w:type="dxa"/>
            <w:left w:w="0" w:type="dxa"/>
            <w:bottom w:w="0" w:type="dxa"/>
            <w:right w:w="0" w:type="dxa"/>
          </w:tblCellMar>
        </w:tblPrEx>
        <w:trPr>
          <w:trHeight w:val="510"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14:paraId="2FBAE648">
            <w:pPr>
              <w:keepLines/>
              <w:widowControl/>
              <w:jc w:val="left"/>
              <w:rPr>
                <w:rFonts w:ascii="Times New Roman" w:hAnsi="Times New Roman" w:eastAsia="宋体" w:cs="Times New Roman"/>
                <w:color w:val="auto"/>
                <w:kern w:val="0"/>
                <w:sz w:val="24"/>
                <w:szCs w:val="24"/>
              </w:rPr>
            </w:pPr>
          </w:p>
        </w:tc>
        <w:tc>
          <w:tcPr>
            <w:tcW w:w="214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14:paraId="1AA6F521">
            <w:pPr>
              <w:keepLines/>
              <w:widowControl/>
              <w:jc w:val="center"/>
              <w:textAlignment w:val="center"/>
              <w:rPr>
                <w:rFonts w:ascii="Times New Roman" w:hAnsi="Times New Roman" w:eastAsia="宋体" w:cs="Times New Roman"/>
                <w:color w:val="auto"/>
                <w:kern w:val="0"/>
                <w:sz w:val="24"/>
                <w:szCs w:val="24"/>
              </w:rPr>
            </w:pPr>
            <w:r>
              <w:rPr>
                <w:rFonts w:ascii="Times New Roman" w:hAnsi="Times New Roman" w:eastAsia="宋体" w:cs="Times New Roman"/>
                <w:b/>
                <w:bCs/>
                <w:color w:val="auto"/>
                <w:kern w:val="0"/>
                <w:sz w:val="24"/>
                <w:szCs w:val="24"/>
              </w:rPr>
              <w:t>2023</w:t>
            </w:r>
            <w:r>
              <w:rPr>
                <w:rFonts w:ascii="Times New Roman" w:hAnsi="宋体" w:eastAsia="宋体" w:cs="Times New Roman"/>
                <w:b/>
                <w:bCs/>
                <w:color w:val="auto"/>
                <w:kern w:val="0"/>
                <w:sz w:val="24"/>
                <w:szCs w:val="24"/>
              </w:rPr>
              <w:t>年</w:t>
            </w:r>
          </w:p>
        </w:tc>
        <w:tc>
          <w:tcPr>
            <w:tcW w:w="235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14:paraId="0A86C0A0">
            <w:pPr>
              <w:keepLines/>
              <w:widowControl/>
              <w:jc w:val="center"/>
              <w:textAlignment w:val="center"/>
              <w:rPr>
                <w:rFonts w:ascii="Times New Roman" w:hAnsi="Times New Roman" w:eastAsia="宋体" w:cs="Times New Roman"/>
                <w:color w:val="auto"/>
                <w:kern w:val="0"/>
                <w:sz w:val="24"/>
                <w:szCs w:val="24"/>
              </w:rPr>
            </w:pPr>
            <w:r>
              <w:rPr>
                <w:rFonts w:ascii="Times New Roman" w:hAnsi="Times New Roman" w:eastAsia="宋体" w:cs="Times New Roman"/>
                <w:b/>
                <w:bCs/>
                <w:color w:val="auto"/>
                <w:kern w:val="0"/>
                <w:sz w:val="24"/>
                <w:szCs w:val="24"/>
              </w:rPr>
              <w:t>2024</w:t>
            </w:r>
            <w:r>
              <w:rPr>
                <w:rFonts w:ascii="Times New Roman" w:hAnsi="宋体" w:eastAsia="宋体" w:cs="Times New Roman"/>
                <w:b/>
                <w:bCs/>
                <w:color w:val="auto"/>
                <w:kern w:val="0"/>
                <w:sz w:val="24"/>
                <w:szCs w:val="24"/>
              </w:rPr>
              <w:t>年</w:t>
            </w:r>
          </w:p>
        </w:tc>
      </w:tr>
      <w:tr w14:paraId="484A839A">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000000" w:sz="6" w:space="0"/>
            </w:tcBorders>
            <w:tcMar>
              <w:top w:w="15" w:type="dxa"/>
              <w:left w:w="15" w:type="dxa"/>
              <w:bottom w:w="15" w:type="dxa"/>
              <w:right w:w="15" w:type="dxa"/>
            </w:tcMar>
            <w:vAlign w:val="center"/>
          </w:tcPr>
          <w:p w14:paraId="0B86ADCA">
            <w:pPr>
              <w:keepLines/>
              <w:widowControl/>
              <w:jc w:val="center"/>
              <w:textAlignment w:val="center"/>
              <w:rPr>
                <w:rFonts w:ascii="Times New Roman" w:hAnsi="Times New Roman" w:eastAsia="宋体" w:cs="Times New Roman"/>
                <w:color w:val="auto"/>
                <w:kern w:val="0"/>
                <w:sz w:val="24"/>
                <w:szCs w:val="24"/>
              </w:rPr>
            </w:pPr>
            <w:r>
              <w:rPr>
                <w:rFonts w:ascii="Times New Roman" w:hAnsi="宋体" w:eastAsia="宋体" w:cs="Times New Roman"/>
                <w:b/>
                <w:bCs/>
                <w:color w:val="auto"/>
                <w:kern w:val="0"/>
                <w:sz w:val="24"/>
                <w:szCs w:val="24"/>
              </w:rPr>
              <w:t>合计</w:t>
            </w:r>
          </w:p>
        </w:tc>
        <w:tc>
          <w:tcPr>
            <w:tcW w:w="2145" w:type="dxa"/>
            <w:tcBorders>
              <w:top w:val="nil"/>
              <w:left w:val="nil"/>
              <w:bottom w:val="single" w:color="DDDDDD" w:sz="6" w:space="0"/>
              <w:right w:val="single" w:color="000000" w:sz="6" w:space="0"/>
            </w:tcBorders>
            <w:tcMar>
              <w:top w:w="15" w:type="dxa"/>
              <w:left w:w="15" w:type="dxa"/>
              <w:bottom w:w="15" w:type="dxa"/>
              <w:right w:w="15" w:type="dxa"/>
            </w:tcMar>
            <w:vAlign w:val="center"/>
          </w:tcPr>
          <w:p w14:paraId="074AB074">
            <w:pPr>
              <w:keepLines/>
              <w:widowControl/>
              <w:jc w:val="right"/>
              <w:rPr>
                <w:rFonts w:hint="eastAsia" w:ascii="Times New Roman" w:hAnsi="Times New Roman" w:eastAsia="宋体" w:cs="Times New Roman"/>
                <w:color w:val="auto"/>
                <w:kern w:val="0"/>
                <w:sz w:val="24"/>
                <w:szCs w:val="24"/>
                <w:lang w:eastAsia="zh-CN"/>
              </w:rPr>
            </w:pPr>
            <w:r>
              <w:rPr>
                <w:rFonts w:hint="eastAsia" w:ascii="Times New Roman" w:hAnsi="Times New Roman" w:eastAsia="宋体" w:cs="Times New Roman"/>
                <w:color w:val="auto"/>
                <w:kern w:val="0"/>
                <w:sz w:val="24"/>
                <w:szCs w:val="24"/>
                <w:lang w:val="en-US" w:eastAsia="zh-CN"/>
              </w:rPr>
              <w:t>0</w:t>
            </w:r>
          </w:p>
        </w:tc>
        <w:tc>
          <w:tcPr>
            <w:tcW w:w="2355" w:type="dxa"/>
            <w:tcBorders>
              <w:top w:val="nil"/>
              <w:left w:val="nil"/>
              <w:bottom w:val="single" w:color="DDDDDD" w:sz="6" w:space="0"/>
              <w:right w:val="single" w:color="000000" w:sz="6" w:space="0"/>
            </w:tcBorders>
            <w:tcMar>
              <w:top w:w="15" w:type="dxa"/>
              <w:left w:w="15" w:type="dxa"/>
              <w:bottom w:w="15" w:type="dxa"/>
              <w:right w:w="15" w:type="dxa"/>
            </w:tcMar>
            <w:vAlign w:val="center"/>
          </w:tcPr>
          <w:p w14:paraId="238D1D39">
            <w:pPr>
              <w:keepLines/>
              <w:widowControl/>
              <w:jc w:val="right"/>
              <w:rPr>
                <w:rFonts w:hint="eastAsia" w:ascii="Times New Roman" w:hAnsi="Times New Roman" w:eastAsia="宋体" w:cs="Times New Roman"/>
                <w:color w:val="auto"/>
                <w:kern w:val="0"/>
                <w:sz w:val="24"/>
                <w:szCs w:val="24"/>
                <w:lang w:val="en-US" w:eastAsia="zh-CN"/>
              </w:rPr>
            </w:pPr>
            <w:r>
              <w:rPr>
                <w:rFonts w:hint="eastAsia" w:ascii="Times New Roman" w:hAnsi="Times New Roman" w:eastAsia="宋体" w:cs="Times New Roman"/>
                <w:color w:val="auto"/>
                <w:kern w:val="0"/>
                <w:sz w:val="24"/>
                <w:szCs w:val="24"/>
                <w:lang w:val="en-US" w:eastAsia="zh-CN"/>
              </w:rPr>
              <w:t>0</w:t>
            </w:r>
          </w:p>
        </w:tc>
      </w:tr>
      <w:tr w14:paraId="0FC0D379">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14:paraId="059CF777">
            <w:pPr>
              <w:keepLines/>
              <w:widowControl/>
              <w:jc w:val="left"/>
              <w:textAlignment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w:t>
            </w:r>
            <w:r>
              <w:rPr>
                <w:rFonts w:ascii="Times New Roman" w:hAnsi="宋体" w:eastAsia="宋体" w:cs="Times New Roman"/>
                <w:color w:val="auto"/>
                <w:kern w:val="0"/>
                <w:sz w:val="24"/>
                <w:szCs w:val="24"/>
              </w:rPr>
              <w:t>、因公出国（境）费</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14:paraId="5DC9007C">
            <w:pPr>
              <w:keepLines/>
              <w:widowControl/>
              <w:jc w:val="right"/>
              <w:rPr>
                <w:rFonts w:ascii="Times New Roman" w:hAnsi="Times New Roman" w:eastAsia="宋体" w:cs="Times New Roman"/>
                <w:color w:val="auto"/>
                <w:kern w:val="0"/>
                <w:sz w:val="24"/>
                <w:szCs w:val="24"/>
              </w:rPr>
            </w:pP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14:paraId="2CC8676A">
            <w:pPr>
              <w:keepLines/>
              <w:widowControl/>
              <w:jc w:val="right"/>
              <w:rPr>
                <w:rFonts w:ascii="Times New Roman" w:hAnsi="Times New Roman" w:eastAsia="宋体" w:cs="Times New Roman"/>
                <w:color w:val="auto"/>
                <w:kern w:val="0"/>
                <w:sz w:val="24"/>
                <w:szCs w:val="24"/>
              </w:rPr>
            </w:pPr>
          </w:p>
        </w:tc>
      </w:tr>
      <w:tr w14:paraId="59885F08">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14:paraId="204277DD">
            <w:pPr>
              <w:keepLines/>
              <w:widowControl/>
              <w:jc w:val="left"/>
              <w:textAlignment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2</w:t>
            </w:r>
            <w:r>
              <w:rPr>
                <w:rFonts w:ascii="Times New Roman" w:hAnsi="宋体" w:eastAsia="宋体" w:cs="Times New Roman"/>
                <w:color w:val="auto"/>
                <w:kern w:val="0"/>
                <w:sz w:val="24"/>
                <w:szCs w:val="24"/>
              </w:rPr>
              <w:t>、公务接待费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14:paraId="7DBD6844">
            <w:pPr>
              <w:keepLines/>
              <w:widowControl/>
              <w:jc w:val="right"/>
              <w:rPr>
                <w:rFonts w:ascii="Times New Roman" w:hAnsi="Times New Roman" w:eastAsia="宋体" w:cs="Times New Roman"/>
                <w:color w:val="auto"/>
                <w:kern w:val="0"/>
                <w:sz w:val="24"/>
                <w:szCs w:val="24"/>
              </w:rPr>
            </w:pP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14:paraId="16B81247">
            <w:pPr>
              <w:keepLines/>
              <w:widowControl/>
              <w:jc w:val="right"/>
              <w:rPr>
                <w:rFonts w:ascii="Times New Roman" w:hAnsi="Times New Roman" w:eastAsia="宋体" w:cs="Times New Roman"/>
                <w:color w:val="auto"/>
                <w:kern w:val="0"/>
                <w:sz w:val="24"/>
                <w:szCs w:val="24"/>
              </w:rPr>
            </w:pPr>
          </w:p>
        </w:tc>
      </w:tr>
      <w:tr w14:paraId="223EBE52">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14:paraId="5C6A288A">
            <w:pPr>
              <w:keepLines/>
              <w:widowControl/>
              <w:jc w:val="left"/>
              <w:textAlignment w:val="center"/>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3</w:t>
            </w:r>
            <w:r>
              <w:rPr>
                <w:rFonts w:ascii="Times New Roman" w:hAnsi="宋体" w:eastAsia="宋体" w:cs="Times New Roman"/>
                <w:color w:val="auto"/>
                <w:kern w:val="0"/>
                <w:sz w:val="24"/>
                <w:szCs w:val="24"/>
              </w:rPr>
              <w:t>、公务用车购置及运行费</w:t>
            </w:r>
          </w:p>
        </w:tc>
        <w:tc>
          <w:tcPr>
            <w:tcW w:w="2145" w:type="dxa"/>
            <w:tcBorders>
              <w:top w:val="single" w:color="DDDDDD"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14:paraId="5022A50B">
            <w:pPr>
              <w:keepLines/>
              <w:widowControl/>
              <w:jc w:val="right"/>
              <w:rPr>
                <w:rFonts w:ascii="Times New Roman" w:hAnsi="Times New Roman" w:eastAsia="宋体" w:cs="Times New Roman"/>
                <w:color w:val="auto"/>
                <w:kern w:val="0"/>
                <w:sz w:val="24"/>
                <w:szCs w:val="24"/>
              </w:rPr>
            </w:pPr>
          </w:p>
        </w:tc>
        <w:tc>
          <w:tcPr>
            <w:tcW w:w="2355" w:type="dxa"/>
            <w:tcBorders>
              <w:top w:val="single" w:color="DDDDDD" w:sz="6" w:space="0"/>
              <w:left w:val="single" w:color="000000" w:sz="6" w:space="0"/>
              <w:bottom w:val="single" w:color="DDDDDD" w:sz="6" w:space="0"/>
              <w:right w:val="single" w:color="000000" w:sz="6" w:space="0"/>
            </w:tcBorders>
            <w:tcMar>
              <w:top w:w="15" w:type="dxa"/>
              <w:left w:w="15" w:type="dxa"/>
              <w:bottom w:w="15" w:type="dxa"/>
              <w:right w:w="15" w:type="dxa"/>
            </w:tcMar>
            <w:vAlign w:val="center"/>
          </w:tcPr>
          <w:p w14:paraId="228CB8D3">
            <w:pPr>
              <w:keepLines/>
              <w:widowControl/>
              <w:jc w:val="right"/>
              <w:rPr>
                <w:rFonts w:ascii="Times New Roman" w:hAnsi="Times New Roman" w:eastAsia="宋体" w:cs="Times New Roman"/>
                <w:color w:val="auto"/>
                <w:kern w:val="0"/>
                <w:sz w:val="24"/>
                <w:szCs w:val="24"/>
              </w:rPr>
            </w:pPr>
          </w:p>
        </w:tc>
      </w:tr>
      <w:tr w14:paraId="16D0974D">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14:paraId="25EE62E9">
            <w:pPr>
              <w:keepLines/>
              <w:widowControl/>
              <w:jc w:val="left"/>
              <w:textAlignment w:val="center"/>
              <w:rPr>
                <w:rFonts w:ascii="Times New Roman" w:hAnsi="Times New Roman" w:eastAsia="宋体" w:cs="Times New Roman"/>
                <w:color w:val="auto"/>
                <w:kern w:val="0"/>
                <w:sz w:val="24"/>
                <w:szCs w:val="24"/>
              </w:rPr>
            </w:pPr>
            <w:r>
              <w:rPr>
                <w:rFonts w:ascii="Times New Roman" w:hAnsi="宋体" w:eastAsia="宋体" w:cs="Times New Roman"/>
                <w:color w:val="auto"/>
                <w:kern w:val="0"/>
                <w:sz w:val="24"/>
                <w:szCs w:val="24"/>
              </w:rPr>
              <w:t>其中：公务用车购置</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14:paraId="35FA24DE">
            <w:pPr>
              <w:keepLines/>
              <w:widowControl/>
              <w:jc w:val="right"/>
              <w:rPr>
                <w:rFonts w:ascii="Times New Roman" w:hAnsi="Times New Roman" w:eastAsia="宋体" w:cs="Times New Roman"/>
                <w:color w:val="auto"/>
                <w:kern w:val="0"/>
                <w:sz w:val="24"/>
                <w:szCs w:val="24"/>
              </w:rPr>
            </w:pP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14:paraId="7DBC3E82">
            <w:pPr>
              <w:keepLines/>
              <w:widowControl/>
              <w:jc w:val="right"/>
              <w:rPr>
                <w:rFonts w:ascii="Times New Roman" w:hAnsi="Times New Roman" w:eastAsia="宋体" w:cs="Times New Roman"/>
                <w:color w:val="auto"/>
                <w:kern w:val="0"/>
                <w:sz w:val="24"/>
                <w:szCs w:val="24"/>
              </w:rPr>
            </w:pPr>
          </w:p>
        </w:tc>
      </w:tr>
      <w:tr w14:paraId="24820767">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14:paraId="3A021699">
            <w:pPr>
              <w:keepLines/>
              <w:widowControl/>
              <w:jc w:val="left"/>
              <w:textAlignment w:val="center"/>
              <w:rPr>
                <w:rFonts w:ascii="Times New Roman" w:hAnsi="Times New Roman" w:eastAsia="宋体" w:cs="Times New Roman"/>
                <w:color w:val="auto"/>
                <w:kern w:val="0"/>
                <w:sz w:val="24"/>
                <w:szCs w:val="24"/>
              </w:rPr>
            </w:pPr>
            <w:r>
              <w:rPr>
                <w:rFonts w:ascii="Times New Roman" w:hAnsi="宋体" w:eastAsia="宋体" w:cs="Times New Roman"/>
                <w:color w:val="auto"/>
                <w:kern w:val="0"/>
                <w:sz w:val="24"/>
                <w:szCs w:val="24"/>
              </w:rPr>
              <w:t>公务用车运行费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14:paraId="68C258D7">
            <w:pPr>
              <w:keepLines/>
              <w:widowControl/>
              <w:jc w:val="right"/>
              <w:rPr>
                <w:rFonts w:hint="eastAsia" w:ascii="Times New Roman" w:hAnsi="Times New Roman" w:eastAsia="宋体" w:cs="Times New Roman"/>
                <w:color w:val="auto"/>
                <w:kern w:val="0"/>
                <w:sz w:val="24"/>
                <w:szCs w:val="24"/>
                <w:lang w:val="en-US" w:eastAsia="zh-CN"/>
              </w:rPr>
            </w:pPr>
            <w:r>
              <w:rPr>
                <w:rFonts w:hint="eastAsia" w:ascii="Times New Roman" w:hAnsi="Times New Roman" w:eastAsia="宋体" w:cs="Times New Roman"/>
                <w:color w:val="auto"/>
                <w:kern w:val="0"/>
                <w:sz w:val="24"/>
                <w:szCs w:val="24"/>
                <w:lang w:val="en-US" w:eastAsia="zh-CN"/>
              </w:rPr>
              <w:t>0</w:t>
            </w: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14:paraId="09ADC4D7">
            <w:pPr>
              <w:keepLines/>
              <w:widowControl/>
              <w:jc w:val="right"/>
              <w:rPr>
                <w:rFonts w:hint="eastAsia" w:ascii="Times New Roman" w:hAnsi="Times New Roman" w:eastAsia="宋体" w:cs="Times New Roman"/>
                <w:color w:val="auto"/>
                <w:kern w:val="0"/>
                <w:sz w:val="24"/>
                <w:szCs w:val="24"/>
                <w:lang w:val="en-US" w:eastAsia="zh-CN"/>
              </w:rPr>
            </w:pPr>
            <w:r>
              <w:rPr>
                <w:rFonts w:hint="eastAsia" w:ascii="Times New Roman" w:hAnsi="Times New Roman" w:eastAsia="宋体" w:cs="Times New Roman"/>
                <w:color w:val="auto"/>
                <w:kern w:val="0"/>
                <w:sz w:val="24"/>
                <w:szCs w:val="24"/>
                <w:lang w:val="en-US" w:eastAsia="zh-CN"/>
              </w:rPr>
              <w:t>0</w:t>
            </w:r>
          </w:p>
        </w:tc>
      </w:tr>
    </w:tbl>
    <w:p w14:paraId="3CA3EF13">
      <w:pPr>
        <w:keepLines/>
        <w:widowControl/>
        <w:shd w:val="clear" w:color="auto" w:fill="FFFFFF"/>
        <w:jc w:val="left"/>
        <w:rPr>
          <w:rFonts w:ascii="Times New Roman" w:hAnsi="Times New Roman" w:eastAsia="微软雅黑" w:cs="Times New Roman"/>
          <w:color w:val="auto"/>
          <w:kern w:val="0"/>
          <w:sz w:val="24"/>
          <w:szCs w:val="24"/>
        </w:rPr>
      </w:pPr>
    </w:p>
    <w:p w14:paraId="03402C10">
      <w:pPr>
        <w:keepLines/>
        <w:widowControl/>
        <w:shd w:val="clear" w:color="auto" w:fill="FFFFFF"/>
        <w:ind w:firstLine="645"/>
        <w:jc w:val="left"/>
        <w:rPr>
          <w:rFonts w:ascii="Times New Roman" w:hAnsi="Times New Roman" w:eastAsia="微软雅黑" w:cs="Times New Roman"/>
          <w:color w:val="auto"/>
          <w:kern w:val="0"/>
          <w:sz w:val="24"/>
          <w:szCs w:val="24"/>
        </w:rPr>
      </w:pPr>
      <w:r>
        <w:rPr>
          <w:rFonts w:ascii="Times New Roman" w:hAnsi="黑体" w:eastAsia="黑体" w:cs="Times New Roman"/>
          <w:color w:val="auto"/>
          <w:kern w:val="0"/>
          <w:sz w:val="32"/>
          <w:szCs w:val="32"/>
        </w:rPr>
        <w:t>五、国有资产占用情况</w:t>
      </w:r>
    </w:p>
    <w:p w14:paraId="47E53FA8">
      <w:pPr>
        <w:keepLines/>
        <w:widowControl/>
        <w:shd w:val="clear" w:color="auto" w:fill="FFFFFF"/>
        <w:ind w:firstLine="645"/>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本溪市溪湖区</w:t>
      </w:r>
      <w:r>
        <w:rPr>
          <w:rFonts w:hint="eastAsia" w:ascii="Times New Roman" w:hAnsi="Times New Roman" w:eastAsia="仿宋_GB2312" w:cs="Times New Roman"/>
          <w:color w:val="auto"/>
          <w:kern w:val="0"/>
          <w:sz w:val="32"/>
          <w:szCs w:val="32"/>
          <w:lang w:eastAsia="zh-CN"/>
        </w:rPr>
        <w:t>审计局</w:t>
      </w:r>
      <w:r>
        <w:rPr>
          <w:rFonts w:ascii="Times New Roman" w:hAnsi="Times New Roman" w:eastAsia="仿宋_GB2312" w:cs="Times New Roman"/>
          <w:color w:val="auto"/>
          <w:kern w:val="0"/>
          <w:sz w:val="32"/>
          <w:szCs w:val="32"/>
        </w:rPr>
        <w:t>共有车辆0台</w:t>
      </w:r>
    </w:p>
    <w:p w14:paraId="69A371F1">
      <w:pPr>
        <w:keepLines/>
        <w:widowControl/>
        <w:shd w:val="clear" w:color="auto" w:fill="FFFFFF"/>
        <w:ind w:firstLine="645"/>
        <w:jc w:val="left"/>
        <w:rPr>
          <w:rFonts w:ascii="Times New Roman" w:hAnsi="Times New Roman" w:eastAsia="微软雅黑" w:cs="Times New Roman"/>
          <w:color w:val="auto"/>
          <w:kern w:val="0"/>
          <w:sz w:val="24"/>
          <w:szCs w:val="24"/>
        </w:rPr>
      </w:pPr>
      <w:r>
        <w:rPr>
          <w:rFonts w:ascii="Times New Roman" w:hAnsi="黑体" w:eastAsia="黑体" w:cs="Times New Roman"/>
          <w:color w:val="auto"/>
          <w:kern w:val="0"/>
          <w:sz w:val="32"/>
          <w:szCs w:val="32"/>
        </w:rPr>
        <w:t>六、绩效情况</w:t>
      </w:r>
    </w:p>
    <w:p w14:paraId="2788542E">
      <w:pPr>
        <w:keepLines/>
        <w:widowControl/>
        <w:shd w:val="clear" w:color="auto" w:fill="FFFFFF"/>
        <w:ind w:firstLine="645"/>
        <w:jc w:val="left"/>
        <w:rPr>
          <w:rFonts w:ascii="Times New Roman" w:hAnsi="Times New Roman" w:eastAsia="微软雅黑" w:cs="Times New Roman"/>
          <w:color w:val="auto"/>
          <w:kern w:val="0"/>
          <w:sz w:val="24"/>
          <w:szCs w:val="24"/>
        </w:rPr>
      </w:pPr>
      <w:r>
        <w:rPr>
          <w:rFonts w:ascii="Times New Roman" w:hAnsi="Times New Roman" w:eastAsia="仿宋_GB2312" w:cs="Times New Roman"/>
          <w:color w:val="auto"/>
          <w:kern w:val="0"/>
          <w:sz w:val="32"/>
          <w:szCs w:val="32"/>
        </w:rPr>
        <w:t>根据预算绩效管理要求，本溪市溪湖区</w:t>
      </w:r>
      <w:r>
        <w:rPr>
          <w:rFonts w:hint="eastAsia" w:ascii="Times New Roman" w:hAnsi="Times New Roman" w:eastAsia="仿宋_GB2312" w:cs="Times New Roman"/>
          <w:color w:val="auto"/>
          <w:kern w:val="0"/>
          <w:sz w:val="32"/>
          <w:szCs w:val="32"/>
          <w:lang w:eastAsia="zh-CN"/>
        </w:rPr>
        <w:t>审计局</w:t>
      </w:r>
      <w:r>
        <w:rPr>
          <w:rFonts w:ascii="Times New Roman" w:hAnsi="Times New Roman" w:eastAsia="仿宋_GB2312" w:cs="Times New Roman"/>
          <w:color w:val="auto"/>
          <w:kern w:val="0"/>
          <w:sz w:val="32"/>
          <w:szCs w:val="32"/>
        </w:rPr>
        <w:t>2024年应编制绩效目标的项目共</w:t>
      </w:r>
      <w:r>
        <w:rPr>
          <w:rFonts w:hint="eastAsia" w:ascii="Times New Roman" w:hAnsi="Times New Roman" w:eastAsia="仿宋_GB2312" w:cs="Times New Roman"/>
          <w:color w:val="auto"/>
          <w:kern w:val="0"/>
          <w:sz w:val="32"/>
          <w:szCs w:val="32"/>
        </w:rPr>
        <w:t>2</w:t>
      </w:r>
      <w:r>
        <w:rPr>
          <w:rFonts w:ascii="Times New Roman" w:hAnsi="Times New Roman" w:eastAsia="仿宋_GB2312" w:cs="Times New Roman"/>
          <w:color w:val="auto"/>
          <w:kern w:val="0"/>
          <w:sz w:val="32"/>
          <w:szCs w:val="32"/>
        </w:rPr>
        <w:t>个，实际编制绩效目标项目共</w:t>
      </w:r>
      <w:r>
        <w:rPr>
          <w:rFonts w:hint="eastAsia" w:ascii="Times New Roman" w:hAnsi="Times New Roman" w:eastAsia="仿宋_GB2312" w:cs="Times New Roman"/>
          <w:color w:val="auto"/>
          <w:kern w:val="0"/>
          <w:sz w:val="32"/>
          <w:szCs w:val="32"/>
        </w:rPr>
        <w:t>2</w:t>
      </w:r>
      <w:r>
        <w:rPr>
          <w:rFonts w:ascii="Times New Roman" w:hAnsi="Times New Roman" w:eastAsia="仿宋_GB2312" w:cs="Times New Roman"/>
          <w:color w:val="auto"/>
          <w:kern w:val="0"/>
          <w:sz w:val="32"/>
          <w:szCs w:val="32"/>
        </w:rPr>
        <w:t>个，编制绩效目标的项目覆盖率（实际编制绩效目标的项目/应编制绩效目标的项目）为100%，涉及资金</w:t>
      </w:r>
      <w:r>
        <w:rPr>
          <w:rFonts w:hint="eastAsia" w:ascii="Times New Roman" w:hAnsi="Times New Roman" w:eastAsia="仿宋_GB2312" w:cs="Times New Roman"/>
          <w:color w:val="auto"/>
          <w:kern w:val="0"/>
          <w:sz w:val="32"/>
          <w:szCs w:val="32"/>
          <w:lang w:val="en-US" w:eastAsia="zh-CN"/>
        </w:rPr>
        <w:t>192</w:t>
      </w:r>
      <w:r>
        <w:rPr>
          <w:rFonts w:ascii="Times New Roman" w:hAnsi="Times New Roman" w:eastAsia="仿宋_GB2312" w:cs="Times New Roman"/>
          <w:color w:val="auto"/>
          <w:kern w:val="0"/>
          <w:sz w:val="32"/>
          <w:szCs w:val="32"/>
        </w:rPr>
        <w:t>万元。</w:t>
      </w:r>
    </w:p>
    <w:p w14:paraId="01C90DC1">
      <w:pPr>
        <w:keepLines/>
        <w:rPr>
          <w:rFonts w:ascii="Times New Roman" w:hAnsi="Times New Roman" w:cs="Times New Roman"/>
          <w:color w:val="auto"/>
        </w:rPr>
      </w:pPr>
    </w:p>
    <w:p w14:paraId="283D4BE3">
      <w:pPr>
        <w:keepLines/>
        <w:rPr>
          <w:rFonts w:ascii="Times New Roman" w:hAnsi="Times New Roman" w:cs="Times New Roman"/>
          <w:color w:val="auto"/>
        </w:rPr>
      </w:pPr>
    </w:p>
    <w:p w14:paraId="363CCC25">
      <w:pPr>
        <w:keepLines/>
        <w:rPr>
          <w:rFonts w:ascii="Times New Roman" w:hAnsi="Times New Roman" w:cs="Times New Roman"/>
          <w:color w:val="auto"/>
        </w:rPr>
      </w:pPr>
    </w:p>
    <w:p w14:paraId="6E651527">
      <w:pPr>
        <w:jc w:val="center"/>
        <w:rPr>
          <w:rFonts w:ascii="Times New Roman" w:hAnsi="Times New Roman" w:cs="Times New Roman"/>
          <w:b/>
          <w:color w:val="auto"/>
          <w:sz w:val="36"/>
          <w:szCs w:val="36"/>
        </w:rPr>
      </w:pPr>
      <w:r>
        <w:rPr>
          <w:rFonts w:ascii="Times New Roman" w:hAnsi="宋体" w:cs="Times New Roman"/>
          <w:b/>
          <w:color w:val="auto"/>
          <w:sz w:val="36"/>
          <w:szCs w:val="36"/>
        </w:rPr>
        <w:t>第四部分</w:t>
      </w:r>
      <w:r>
        <w:rPr>
          <w:rFonts w:ascii="Times New Roman" w:hAnsi="Times New Roman" w:cs="Times New Roman"/>
          <w:b/>
          <w:color w:val="auto"/>
          <w:sz w:val="36"/>
          <w:szCs w:val="36"/>
        </w:rPr>
        <w:t xml:space="preserve"> </w:t>
      </w:r>
      <w:r>
        <w:rPr>
          <w:rFonts w:ascii="Times New Roman" w:hAnsi="宋体" w:cs="Times New Roman"/>
          <w:b/>
          <w:color w:val="auto"/>
          <w:sz w:val="36"/>
          <w:szCs w:val="36"/>
        </w:rPr>
        <w:t>名词解释</w:t>
      </w:r>
    </w:p>
    <w:p w14:paraId="5B001ADB">
      <w:pPr>
        <w:jc w:val="center"/>
        <w:rPr>
          <w:rFonts w:ascii="Times New Roman" w:hAnsi="Times New Roman" w:eastAsia="黑体" w:cs="Times New Roman"/>
          <w:color w:val="auto"/>
          <w:sz w:val="36"/>
          <w:szCs w:val="36"/>
        </w:rPr>
      </w:pPr>
    </w:p>
    <w:p w14:paraId="30FF5111">
      <w:pPr>
        <w:ind w:firstLine="643" w:firstLineChars="200"/>
        <w:jc w:val="left"/>
        <w:rPr>
          <w:rFonts w:ascii="Times New Roman" w:hAnsi="Times New Roman" w:eastAsia="仿宋_GB2312" w:cs="Times New Roman"/>
          <w:color w:val="auto"/>
          <w:sz w:val="32"/>
          <w:szCs w:val="32"/>
        </w:rPr>
      </w:pPr>
      <w:r>
        <w:rPr>
          <w:rFonts w:ascii="Times New Roman" w:hAnsi="Times New Roman" w:eastAsia="仿宋_GB2312" w:cs="Times New Roman"/>
          <w:b/>
          <w:color w:val="auto"/>
          <w:sz w:val="32"/>
          <w:szCs w:val="32"/>
        </w:rPr>
        <w:t>1.财政拨款收入：</w:t>
      </w:r>
      <w:r>
        <w:rPr>
          <w:rFonts w:ascii="Times New Roman" w:hAnsi="Times New Roman" w:eastAsia="仿宋_GB2312" w:cs="Times New Roman"/>
          <w:color w:val="auto"/>
          <w:sz w:val="32"/>
          <w:szCs w:val="32"/>
        </w:rPr>
        <w:t>指市级财政当年拨付的资金。</w:t>
      </w:r>
    </w:p>
    <w:p w14:paraId="02D9DF11">
      <w:pPr>
        <w:ind w:firstLine="643" w:firstLineChars="200"/>
        <w:jc w:val="left"/>
        <w:rPr>
          <w:rFonts w:ascii="Times New Roman" w:hAnsi="Times New Roman" w:eastAsia="仿宋_GB2312" w:cs="Times New Roman"/>
          <w:color w:val="auto"/>
          <w:sz w:val="32"/>
          <w:szCs w:val="32"/>
        </w:rPr>
      </w:pPr>
      <w:r>
        <w:rPr>
          <w:rFonts w:ascii="Times New Roman" w:hAnsi="Times New Roman" w:eastAsia="仿宋_GB2312" w:cs="Times New Roman"/>
          <w:b/>
          <w:color w:val="auto"/>
          <w:sz w:val="32"/>
          <w:szCs w:val="32"/>
        </w:rPr>
        <w:t>2.基本支出：</w:t>
      </w:r>
      <w:r>
        <w:rPr>
          <w:rFonts w:ascii="Times New Roman" w:hAnsi="Times New Roman" w:eastAsia="仿宋_GB2312" w:cs="Times New Roman"/>
          <w:color w:val="auto"/>
          <w:sz w:val="32"/>
          <w:szCs w:val="32"/>
        </w:rPr>
        <w:t>指保障机构正常运转、完成日常工作任务而发生的人员支出和公用支出。</w:t>
      </w:r>
    </w:p>
    <w:p w14:paraId="691911C8">
      <w:pPr>
        <w:ind w:firstLine="643" w:firstLineChars="200"/>
        <w:jc w:val="left"/>
        <w:rPr>
          <w:rFonts w:ascii="Times New Roman" w:hAnsi="Times New Roman" w:eastAsia="仿宋_GB2312" w:cs="Times New Roman"/>
          <w:b/>
          <w:color w:val="auto"/>
          <w:sz w:val="32"/>
          <w:szCs w:val="32"/>
        </w:rPr>
      </w:pPr>
      <w:r>
        <w:rPr>
          <w:rFonts w:ascii="Times New Roman" w:hAnsi="Times New Roman" w:eastAsia="仿宋_GB2312" w:cs="Times New Roman"/>
          <w:b/>
          <w:color w:val="auto"/>
          <w:sz w:val="32"/>
          <w:szCs w:val="32"/>
        </w:rPr>
        <w:t>3.项目支出：</w:t>
      </w:r>
      <w:r>
        <w:rPr>
          <w:rFonts w:ascii="Times New Roman" w:hAnsi="Times New Roman" w:eastAsia="仿宋_GB2312" w:cs="Times New Roman"/>
          <w:color w:val="auto"/>
          <w:sz w:val="32"/>
          <w:szCs w:val="32"/>
        </w:rPr>
        <w:t>指在基本支出之外为完成特定行政任务和事业发展目标所发生的支出。</w:t>
      </w:r>
    </w:p>
    <w:p w14:paraId="680627DA">
      <w:pPr>
        <w:ind w:firstLine="643" w:firstLineChars="200"/>
        <w:rPr>
          <w:rFonts w:ascii="Times New Roman" w:hAnsi="Times New Roman" w:eastAsia="仿宋_GB2312" w:cs="Times New Roman"/>
          <w:color w:val="auto"/>
          <w:sz w:val="32"/>
          <w:szCs w:val="32"/>
        </w:rPr>
      </w:pPr>
      <w:r>
        <w:rPr>
          <w:rFonts w:ascii="Times New Roman" w:hAnsi="Times New Roman" w:eastAsia="仿宋_GB2312" w:cs="Times New Roman"/>
          <w:b/>
          <w:color w:val="auto"/>
          <w:sz w:val="32"/>
        </w:rPr>
        <w:t>4.机关运行经费：</w:t>
      </w:r>
      <w:r>
        <w:rPr>
          <w:rFonts w:ascii="Times New Roman" w:hAnsi="Times New Roman" w:eastAsia="仿宋_GB2312" w:cs="Times New Roman"/>
          <w:color w:val="auto"/>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49A8A2F2">
      <w:pPr>
        <w:ind w:firstLine="643" w:firstLineChars="200"/>
        <w:jc w:val="left"/>
        <w:rPr>
          <w:rFonts w:ascii="Times New Roman" w:hAnsi="Times New Roman" w:eastAsia="仿宋_GB2312" w:cs="Times New Roman"/>
          <w:b/>
          <w:color w:val="auto"/>
          <w:sz w:val="32"/>
          <w:szCs w:val="32"/>
        </w:rPr>
      </w:pPr>
      <w:r>
        <w:rPr>
          <w:rFonts w:ascii="Times New Roman" w:hAnsi="Times New Roman" w:eastAsia="仿宋_GB2312" w:cs="Times New Roman"/>
          <w:b/>
          <w:color w:val="auto"/>
          <w:sz w:val="32"/>
          <w:szCs w:val="32"/>
        </w:rPr>
        <w:t>5.行政事业性收费收入：</w:t>
      </w:r>
      <w:r>
        <w:rPr>
          <w:rFonts w:ascii="Times New Roman" w:hAnsi="Times New Roman" w:eastAsia="仿宋_GB2312" w:cs="Times New Roman"/>
          <w:color w:val="auto"/>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14:paraId="476F3CE4">
      <w:pPr>
        <w:ind w:firstLine="643" w:firstLineChars="200"/>
        <w:jc w:val="left"/>
        <w:rPr>
          <w:rFonts w:ascii="Times New Roman" w:hAnsi="Times New Roman" w:eastAsia="仿宋_GB2312" w:cs="Times New Roman"/>
          <w:b/>
          <w:color w:val="auto"/>
          <w:sz w:val="32"/>
          <w:szCs w:val="32"/>
        </w:rPr>
      </w:pPr>
      <w:bookmarkStart w:id="0" w:name="OLE_LINK1"/>
      <w:r>
        <w:rPr>
          <w:rFonts w:ascii="Times New Roman" w:hAnsi="Times New Roman" w:eastAsia="仿宋_GB2312" w:cs="Times New Roman"/>
          <w:b/>
          <w:color w:val="auto"/>
          <w:sz w:val="32"/>
          <w:szCs w:val="32"/>
        </w:rPr>
        <w:t>6.政府性基金收入</w:t>
      </w:r>
      <w:bookmarkEnd w:id="0"/>
      <w:r>
        <w:rPr>
          <w:rFonts w:ascii="Times New Roman" w:hAnsi="Times New Roman" w:eastAsia="仿宋_GB2312" w:cs="Times New Roman"/>
          <w:b/>
          <w:color w:val="auto"/>
          <w:sz w:val="32"/>
          <w:szCs w:val="32"/>
        </w:rPr>
        <w:t>：</w:t>
      </w:r>
      <w:r>
        <w:rPr>
          <w:rFonts w:ascii="Times New Roman" w:hAnsi="Times New Roman" w:eastAsia="仿宋_GB2312" w:cs="Times New Roman"/>
          <w:color w:val="auto"/>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14:paraId="09697C1B">
      <w:pPr>
        <w:ind w:firstLine="643" w:firstLineChars="200"/>
        <w:jc w:val="left"/>
        <w:rPr>
          <w:rFonts w:ascii="Times New Roman" w:hAnsi="Times New Roman" w:eastAsia="仿宋_GB2312" w:cs="Times New Roman"/>
          <w:color w:val="auto"/>
          <w:sz w:val="32"/>
          <w:szCs w:val="32"/>
        </w:rPr>
      </w:pPr>
      <w:r>
        <w:rPr>
          <w:rFonts w:ascii="Times New Roman" w:hAnsi="Times New Roman" w:eastAsia="仿宋_GB2312" w:cs="Times New Roman"/>
          <w:b/>
          <w:color w:val="auto"/>
          <w:sz w:val="32"/>
          <w:szCs w:val="32"/>
        </w:rPr>
        <w:t>7.其他收入：</w:t>
      </w:r>
      <w:r>
        <w:rPr>
          <w:rFonts w:ascii="Times New Roman" w:hAnsi="Times New Roman" w:eastAsia="仿宋_GB2312" w:cs="Times New Roman"/>
          <w:color w:val="auto"/>
          <w:sz w:val="32"/>
          <w:szCs w:val="32"/>
        </w:rPr>
        <w:t>指除上述“财政拨款收入”、“行政事业性收费收入”、“政府性基金收入”以外的收入。</w:t>
      </w:r>
    </w:p>
    <w:p w14:paraId="56E54AC1">
      <w:pPr>
        <w:ind w:firstLine="643" w:firstLineChars="200"/>
        <w:jc w:val="left"/>
        <w:rPr>
          <w:rFonts w:ascii="Times New Roman" w:hAnsi="Times New Roman" w:eastAsia="仿宋_GB2312" w:cs="Times New Roman"/>
          <w:color w:val="auto"/>
          <w:sz w:val="32"/>
          <w:szCs w:val="32"/>
        </w:rPr>
      </w:pPr>
      <w:r>
        <w:rPr>
          <w:rFonts w:ascii="Times New Roman" w:hAnsi="Times New Roman" w:eastAsia="仿宋_GB2312" w:cs="Times New Roman"/>
          <w:b/>
          <w:color w:val="auto"/>
          <w:sz w:val="32"/>
          <w:szCs w:val="32"/>
        </w:rPr>
        <w:t>8.“三公”经费</w:t>
      </w:r>
      <w:r>
        <w:rPr>
          <w:rFonts w:ascii="Times New Roman" w:hAnsi="Times New Roman" w:eastAsia="仿宋_GB2312" w:cs="Times New Roman"/>
          <w:color w:val="auto"/>
          <w:sz w:val="32"/>
          <w:szCs w:val="32"/>
        </w:rPr>
        <w:t>：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费及燃料费、维修费、过桥过路费、保险费、安全奖励费用等支出；公务接待费反映单位按规定开支的各类公务接待（含外宾接待）费用。</w:t>
      </w:r>
    </w:p>
    <w:p w14:paraId="59268FB8">
      <w:pPr>
        <w:ind w:firstLine="643" w:firstLineChars="200"/>
        <w:jc w:val="left"/>
        <w:rPr>
          <w:rFonts w:ascii="Times New Roman" w:hAnsi="Times New Roman" w:eastAsia="仿宋_GB2312" w:cs="Times New Roman"/>
          <w:color w:val="auto"/>
          <w:sz w:val="32"/>
          <w:szCs w:val="32"/>
        </w:rPr>
      </w:pPr>
      <w:r>
        <w:rPr>
          <w:rFonts w:ascii="Times New Roman" w:hAnsi="Times New Roman" w:eastAsia="仿宋_GB2312" w:cs="Times New Roman"/>
          <w:b/>
          <w:color w:val="auto"/>
          <w:sz w:val="32"/>
          <w:szCs w:val="32"/>
        </w:rPr>
        <w:t>9.一般公共服务（类）财政事务（款）行政运行（项）：</w:t>
      </w:r>
      <w:r>
        <w:rPr>
          <w:rFonts w:ascii="Times New Roman" w:hAnsi="Times New Roman" w:eastAsia="仿宋_GB2312" w:cs="Times New Roman"/>
          <w:color w:val="auto"/>
          <w:sz w:val="32"/>
          <w:szCs w:val="32"/>
        </w:rPr>
        <w:t>反映行政单位（包括实行公务员管理的事业单位）的基本支出。</w:t>
      </w:r>
    </w:p>
    <w:p w14:paraId="4B24F14F">
      <w:pPr>
        <w:ind w:firstLine="643" w:firstLineChars="200"/>
        <w:jc w:val="left"/>
        <w:rPr>
          <w:rFonts w:ascii="Times New Roman" w:hAnsi="Times New Roman" w:eastAsia="仿宋_GB2312" w:cs="Times New Roman"/>
          <w:color w:val="auto"/>
          <w:sz w:val="32"/>
          <w:szCs w:val="32"/>
        </w:rPr>
      </w:pPr>
      <w:r>
        <w:rPr>
          <w:rFonts w:ascii="Times New Roman" w:hAnsi="Times New Roman" w:eastAsia="仿宋_GB2312" w:cs="Times New Roman"/>
          <w:b/>
          <w:color w:val="auto"/>
          <w:sz w:val="32"/>
          <w:szCs w:val="32"/>
        </w:rPr>
        <w:t>10.一般公共服务（类）财政事务（款）事业运行（项）：</w:t>
      </w:r>
      <w:r>
        <w:rPr>
          <w:rFonts w:ascii="Times New Roman" w:hAnsi="Times New Roman" w:eastAsia="仿宋_GB2312" w:cs="Times New Roman"/>
          <w:color w:val="auto"/>
          <w:sz w:val="32"/>
          <w:szCs w:val="32"/>
        </w:rPr>
        <w:t>反映事业单位的基本支出，不包括行政单位（包括实行公务员管理的事业单位）后勤服务中心、医务室等附属事业单位。</w:t>
      </w:r>
    </w:p>
    <w:p w14:paraId="01548CCE">
      <w:pPr>
        <w:ind w:firstLine="643" w:firstLineChars="200"/>
        <w:jc w:val="left"/>
        <w:rPr>
          <w:rFonts w:ascii="Times New Roman" w:hAnsi="Times New Roman" w:eastAsia="仿宋_GB2312" w:cs="Times New Roman"/>
          <w:color w:val="auto"/>
          <w:sz w:val="32"/>
          <w:szCs w:val="32"/>
        </w:rPr>
      </w:pPr>
      <w:r>
        <w:rPr>
          <w:rFonts w:ascii="Times New Roman" w:hAnsi="Times New Roman" w:eastAsia="仿宋_GB2312" w:cs="Times New Roman"/>
          <w:b/>
          <w:color w:val="auto"/>
          <w:sz w:val="32"/>
          <w:szCs w:val="32"/>
        </w:rPr>
        <w:t>11.一般公共服务（类）财政事务（款）其他财政事务支出（项）：</w:t>
      </w:r>
      <w:r>
        <w:rPr>
          <w:rFonts w:ascii="Times New Roman" w:hAnsi="Times New Roman" w:eastAsia="仿宋_GB2312" w:cs="Times New Roman"/>
          <w:color w:val="auto"/>
          <w:sz w:val="32"/>
          <w:szCs w:val="32"/>
        </w:rPr>
        <w:t>反映除上述项目以外其他财政事务方面的支出。</w:t>
      </w:r>
    </w:p>
    <w:p w14:paraId="1B1EDEDE">
      <w:pPr>
        <w:ind w:firstLine="643" w:firstLineChars="200"/>
        <w:jc w:val="left"/>
        <w:rPr>
          <w:rFonts w:ascii="Times New Roman" w:hAnsi="Times New Roman" w:eastAsia="仿宋_GB2312" w:cs="Times New Roman"/>
          <w:color w:val="auto"/>
          <w:sz w:val="32"/>
          <w:szCs w:val="32"/>
        </w:rPr>
      </w:pPr>
      <w:r>
        <w:rPr>
          <w:rFonts w:ascii="Times New Roman" w:hAnsi="Times New Roman" w:eastAsia="仿宋_GB2312" w:cs="Times New Roman"/>
          <w:b/>
          <w:color w:val="auto"/>
          <w:sz w:val="32"/>
          <w:szCs w:val="32"/>
        </w:rPr>
        <w:t>12.社会保障和就业（类）行政事业单位离退休（款）归口管理的行政单位离退休（项）：</w:t>
      </w:r>
      <w:r>
        <w:rPr>
          <w:rFonts w:ascii="Times New Roman" w:hAnsi="Times New Roman" w:eastAsia="仿宋_GB2312" w:cs="Times New Roman"/>
          <w:color w:val="auto"/>
          <w:sz w:val="32"/>
          <w:szCs w:val="32"/>
        </w:rPr>
        <w:t>反映实行归口管理的行政单位（包括实行公务员管理的事业单位）开支的离退休经费。</w:t>
      </w:r>
    </w:p>
    <w:p w14:paraId="5474ED4A">
      <w:pPr>
        <w:ind w:firstLine="643" w:firstLineChars="200"/>
        <w:jc w:val="left"/>
        <w:rPr>
          <w:rFonts w:ascii="Times New Roman" w:hAnsi="Times New Roman" w:eastAsia="仿宋_GB2312" w:cs="Times New Roman"/>
          <w:color w:val="auto"/>
          <w:sz w:val="32"/>
          <w:szCs w:val="32"/>
        </w:rPr>
      </w:pPr>
      <w:r>
        <w:rPr>
          <w:rFonts w:ascii="Times New Roman" w:hAnsi="Times New Roman" w:eastAsia="仿宋_GB2312" w:cs="Times New Roman"/>
          <w:b/>
          <w:color w:val="auto"/>
          <w:sz w:val="32"/>
          <w:szCs w:val="32"/>
        </w:rPr>
        <w:t>13.社会保障和就业（类）行政事业单位离退休（款）事业单位离退休（项）：</w:t>
      </w:r>
      <w:r>
        <w:rPr>
          <w:rFonts w:ascii="Times New Roman" w:hAnsi="Times New Roman" w:eastAsia="仿宋_GB2312" w:cs="Times New Roman"/>
          <w:color w:val="auto"/>
          <w:sz w:val="32"/>
          <w:szCs w:val="32"/>
        </w:rPr>
        <w:t>反映实行归口管理的事业单位开支的离退休经费。</w:t>
      </w:r>
    </w:p>
    <w:p w14:paraId="51BAA9A0">
      <w:pPr>
        <w:ind w:firstLine="643" w:firstLineChars="200"/>
        <w:jc w:val="left"/>
        <w:rPr>
          <w:rFonts w:ascii="Times New Roman" w:hAnsi="Times New Roman" w:cs="Times New Roman"/>
          <w:color w:val="auto"/>
        </w:rPr>
      </w:pPr>
      <w:r>
        <w:rPr>
          <w:rFonts w:ascii="Times New Roman" w:hAnsi="Times New Roman" w:eastAsia="仿宋_GB2312" w:cs="Times New Roman"/>
          <w:b/>
          <w:color w:val="auto"/>
          <w:sz w:val="32"/>
          <w:szCs w:val="32"/>
        </w:rPr>
        <w:t>14.住房保障（类）住房改革（款）住房公积金（项）：</w:t>
      </w:r>
      <w:r>
        <w:rPr>
          <w:rFonts w:ascii="Times New Roman" w:hAnsi="Times New Roman" w:eastAsia="仿宋_GB2312" w:cs="Times New Roman"/>
          <w:color w:val="auto"/>
          <w:sz w:val="32"/>
          <w:szCs w:val="32"/>
        </w:rPr>
        <w:t>反映行政事业单位按人力资源和社会保障部、财政部规定的基本工资和津贴补贴以及规定比例为职工缴纳的住房公积金。</w:t>
      </w: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C1411">
    <w:pPr>
      <w:pStyle w:val="2"/>
      <w:jc w:val="center"/>
    </w:pPr>
  </w:p>
  <w:p w14:paraId="620B10A4">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697200"/>
      <w:docPartObj>
        <w:docPartGallery w:val="autotext"/>
      </w:docPartObj>
    </w:sdtPr>
    <w:sdtEndPr>
      <w:rPr>
        <w:rFonts w:asciiTheme="majorEastAsia" w:hAnsiTheme="majorEastAsia" w:eastAsiaTheme="majorEastAsia"/>
        <w:sz w:val="28"/>
        <w:szCs w:val="28"/>
      </w:rPr>
    </w:sdtEndPr>
    <w:sdtContent>
      <w:p w14:paraId="7523C0F8">
        <w:pPr>
          <w:pStyle w:val="2"/>
          <w:jc w:val="cente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6</w:t>
        </w:r>
        <w:r>
          <w:rPr>
            <w:rFonts w:asciiTheme="majorEastAsia" w:hAnsiTheme="majorEastAsia" w:eastAsiaTheme="majorEastAsia"/>
            <w:sz w:val="28"/>
            <w:szCs w:val="28"/>
          </w:rPr>
          <w:fldChar w:fldCharType="end"/>
        </w:r>
      </w:p>
    </w:sdtContent>
  </w:sdt>
  <w:p w14:paraId="073AD81B">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422295"/>
    <w:multiLevelType w:val="singleLevel"/>
    <w:tmpl w:val="F8422295"/>
    <w:lvl w:ilvl="0" w:tentative="0">
      <w:start w:val="1"/>
      <w:numFmt w:val="chineseCounting"/>
      <w:suff w:val="nothing"/>
      <w:lvlText w:val="（%1）"/>
      <w:lvlJc w:val="left"/>
      <w:pPr>
        <w:ind w:left="640" w:leftChars="0" w:firstLine="0" w:firstLineChars="0"/>
      </w:pPr>
      <w:rPr>
        <w:rFonts w:hint="eastAsia"/>
      </w:rPr>
    </w:lvl>
  </w:abstractNum>
  <w:abstractNum w:abstractNumId="1">
    <w:nsid w:val="3DB92C26"/>
    <w:multiLevelType w:val="singleLevel"/>
    <w:tmpl w:val="3DB92C26"/>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7A6F"/>
    <w:rsid w:val="00007ED4"/>
    <w:rsid w:val="000215EE"/>
    <w:rsid w:val="00060027"/>
    <w:rsid w:val="000650FF"/>
    <w:rsid w:val="0012259A"/>
    <w:rsid w:val="00125A73"/>
    <w:rsid w:val="00132D44"/>
    <w:rsid w:val="00150082"/>
    <w:rsid w:val="001770E9"/>
    <w:rsid w:val="00177A6F"/>
    <w:rsid w:val="00186218"/>
    <w:rsid w:val="0018703D"/>
    <w:rsid w:val="001D171B"/>
    <w:rsid w:val="001F641C"/>
    <w:rsid w:val="002303C1"/>
    <w:rsid w:val="00241EB6"/>
    <w:rsid w:val="00261146"/>
    <w:rsid w:val="002670A8"/>
    <w:rsid w:val="002E321B"/>
    <w:rsid w:val="003177C2"/>
    <w:rsid w:val="003853CB"/>
    <w:rsid w:val="003B3C2A"/>
    <w:rsid w:val="00467FB6"/>
    <w:rsid w:val="004B03A2"/>
    <w:rsid w:val="005137CD"/>
    <w:rsid w:val="006342E1"/>
    <w:rsid w:val="00683E1A"/>
    <w:rsid w:val="00686DA1"/>
    <w:rsid w:val="006F51B7"/>
    <w:rsid w:val="007207B9"/>
    <w:rsid w:val="00777B73"/>
    <w:rsid w:val="007F4D5A"/>
    <w:rsid w:val="007F66B8"/>
    <w:rsid w:val="00850C86"/>
    <w:rsid w:val="008A3765"/>
    <w:rsid w:val="008D6541"/>
    <w:rsid w:val="008D7A97"/>
    <w:rsid w:val="008F3FE7"/>
    <w:rsid w:val="0091014E"/>
    <w:rsid w:val="009431E6"/>
    <w:rsid w:val="00944BD3"/>
    <w:rsid w:val="009A263B"/>
    <w:rsid w:val="009D059E"/>
    <w:rsid w:val="009D36D1"/>
    <w:rsid w:val="009F2C5B"/>
    <w:rsid w:val="00A55F6E"/>
    <w:rsid w:val="00AD603C"/>
    <w:rsid w:val="00B0451C"/>
    <w:rsid w:val="00B218D5"/>
    <w:rsid w:val="00B21D43"/>
    <w:rsid w:val="00B47CC8"/>
    <w:rsid w:val="00B62861"/>
    <w:rsid w:val="00B7445D"/>
    <w:rsid w:val="00B7573B"/>
    <w:rsid w:val="00BB4C8F"/>
    <w:rsid w:val="00BD723A"/>
    <w:rsid w:val="00BD73AB"/>
    <w:rsid w:val="00C04501"/>
    <w:rsid w:val="00C3232E"/>
    <w:rsid w:val="00D0368F"/>
    <w:rsid w:val="00E450BD"/>
    <w:rsid w:val="00EB2CD8"/>
    <w:rsid w:val="00EB7F7C"/>
    <w:rsid w:val="00ED54F7"/>
    <w:rsid w:val="00EE0BAD"/>
    <w:rsid w:val="00F25B72"/>
    <w:rsid w:val="00F27900"/>
    <w:rsid w:val="00F318C1"/>
    <w:rsid w:val="00F31C06"/>
    <w:rsid w:val="00F923E6"/>
    <w:rsid w:val="00FA1FD2"/>
    <w:rsid w:val="258A078D"/>
    <w:rsid w:val="2F086F2D"/>
    <w:rsid w:val="6F0C05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paragraph" w:styleId="8">
    <w:name w:val="List Paragraph"/>
    <w:basedOn w:val="1"/>
    <w:qFormat/>
    <w:uiPriority w:val="34"/>
    <w:pPr>
      <w:ind w:firstLine="420" w:firstLineChars="200"/>
    </w:pPr>
  </w:style>
  <w:style w:type="character" w:customStyle="1" w:styleId="9">
    <w:name w:val="页眉 Char"/>
    <w:basedOn w:val="6"/>
    <w:link w:val="3"/>
    <w:qFormat/>
    <w:uiPriority w:val="99"/>
    <w:rPr>
      <w:sz w:val="18"/>
      <w:szCs w:val="18"/>
    </w:rPr>
  </w:style>
  <w:style w:type="character" w:customStyle="1" w:styleId="10">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87B585-9C42-4CB5-A61F-4DA9384AE8D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2742</Words>
  <Characters>2881</Characters>
  <Lines>24</Lines>
  <Paragraphs>6</Paragraphs>
  <TotalTime>0</TotalTime>
  <ScaleCrop>false</ScaleCrop>
  <LinksUpToDate>false</LinksUpToDate>
  <CharactersWithSpaces>2892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2021-06-10T06:12:00Z</dcterms:created>
  <dc:creator>Administrator</dc:creator>
  <cp:lastModifiedBy>企业用户_353199530</cp:lastModifiedBy>
  <dcterms:modified xsi:type="dcterms:W3CDTF">2025-05-09T01:04:43Z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eyJoZGlkIjoiYjJhYzdjYmE3NjNhYjA3M2YyNTA5YTNlMTA4YThmNzUiLCJ1c2VySWQiOiIxNTgyNjEwNjk2In0=</vt:lpwstr>
  </property>
  <property fmtid="{D5CDD505-2E9C-101B-9397-08002B2CF9AE}" pid="3" name="KSOProductBuildVer">
    <vt:lpwstr>2052-12.1.0.21171</vt:lpwstr>
  </property>
  <property fmtid="{D5CDD505-2E9C-101B-9397-08002B2CF9AE}" pid="4" name="ICV">
    <vt:lpwstr>E96F85800B60487EB4138123D9FD9BC9_12</vt:lpwstr>
  </property>
</Properties>
</file>