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98A18">
      <w:pPr>
        <w:widowControl/>
        <w:shd w:val="clear" w:color="auto" w:fill="FFFFFF"/>
        <w:jc w:val="center"/>
        <w:rPr>
          <w:rFonts w:ascii="Times New Roman" w:hAnsi="Times New Roman" w:eastAsia="宋体" w:cs="Times New Roman"/>
          <w:b/>
          <w:bCs/>
          <w:color w:val="333333"/>
          <w:kern w:val="0"/>
          <w:sz w:val="53"/>
          <w:szCs w:val="53"/>
        </w:rPr>
      </w:pPr>
    </w:p>
    <w:p w14:paraId="5E4F1380">
      <w:pPr>
        <w:widowControl/>
        <w:shd w:val="clear" w:color="auto" w:fill="FFFFFF"/>
        <w:jc w:val="center"/>
        <w:rPr>
          <w:rFonts w:ascii="Times New Roman" w:hAnsi="Times New Roman" w:eastAsia="宋体" w:cs="Times New Roman"/>
          <w:b/>
          <w:bCs/>
          <w:color w:val="333333"/>
          <w:kern w:val="0"/>
          <w:sz w:val="53"/>
          <w:szCs w:val="53"/>
        </w:rPr>
      </w:pPr>
    </w:p>
    <w:p w14:paraId="5355F4EB">
      <w:pPr>
        <w:widowControl/>
        <w:shd w:val="clear" w:color="auto" w:fill="FFFFFF"/>
        <w:jc w:val="center"/>
        <w:rPr>
          <w:rFonts w:ascii="Times New Roman" w:hAnsi="Times New Roman" w:eastAsia="宋体" w:cs="Times New Roman"/>
          <w:b/>
          <w:bCs/>
          <w:color w:val="333333"/>
          <w:kern w:val="0"/>
          <w:sz w:val="53"/>
          <w:szCs w:val="53"/>
        </w:rPr>
      </w:pPr>
    </w:p>
    <w:p w14:paraId="5A79A52B">
      <w:pPr>
        <w:widowControl/>
        <w:shd w:val="clear" w:color="auto" w:fill="FFFFFF"/>
        <w:jc w:val="center"/>
        <w:rPr>
          <w:rFonts w:ascii="Times New Roman" w:hAnsi="Times New Roman" w:eastAsia="宋体" w:cs="Times New Roman"/>
          <w:b/>
          <w:bCs/>
          <w:color w:val="333333"/>
          <w:kern w:val="0"/>
          <w:sz w:val="53"/>
          <w:szCs w:val="53"/>
        </w:rPr>
      </w:pPr>
    </w:p>
    <w:p w14:paraId="346ED366">
      <w:pPr>
        <w:widowControl/>
        <w:shd w:val="clear" w:color="auto" w:fill="FFFFFF"/>
        <w:jc w:val="center"/>
        <w:rPr>
          <w:rFonts w:ascii="Times New Roman" w:hAnsi="Times New Roman" w:eastAsia="宋体" w:cs="Times New Roman"/>
          <w:b/>
          <w:bCs/>
          <w:color w:val="333333"/>
          <w:kern w:val="0"/>
          <w:sz w:val="53"/>
          <w:szCs w:val="53"/>
        </w:rPr>
      </w:pPr>
    </w:p>
    <w:p w14:paraId="081E866B">
      <w:pPr>
        <w:widowControl/>
        <w:shd w:val="clear" w:color="auto" w:fill="FFFFFF"/>
        <w:jc w:val="center"/>
        <w:rPr>
          <w:rFonts w:ascii="Times New Roman" w:hAnsi="Times New Roman" w:eastAsia="微软雅黑" w:cs="Times New Roman"/>
          <w:color w:val="333333"/>
          <w:kern w:val="0"/>
          <w:sz w:val="24"/>
          <w:szCs w:val="24"/>
        </w:rPr>
      </w:pPr>
      <w:r>
        <w:rPr>
          <w:rFonts w:hint="eastAsia" w:ascii="Times New Roman" w:hAnsi="宋体" w:eastAsia="宋体" w:cs="Times New Roman"/>
          <w:b/>
          <w:bCs/>
          <w:color w:val="333333"/>
          <w:kern w:val="0"/>
          <w:sz w:val="53"/>
          <w:szCs w:val="53"/>
          <w:lang w:val="en-US" w:eastAsia="zh-CN"/>
        </w:rPr>
        <w:t>中共</w:t>
      </w:r>
      <w:r>
        <w:rPr>
          <w:rFonts w:ascii="Times New Roman" w:hAnsi="宋体" w:eastAsia="宋体" w:cs="Times New Roman"/>
          <w:b/>
          <w:bCs/>
          <w:color w:val="333333"/>
          <w:kern w:val="0"/>
          <w:sz w:val="53"/>
          <w:szCs w:val="53"/>
        </w:rPr>
        <w:t>本溪市溪湖区</w:t>
      </w:r>
      <w:r>
        <w:rPr>
          <w:rFonts w:hint="eastAsia" w:ascii="Times New Roman" w:hAnsi="宋体" w:eastAsia="宋体" w:cs="Times New Roman"/>
          <w:b/>
          <w:bCs/>
          <w:color w:val="333333"/>
          <w:kern w:val="0"/>
          <w:sz w:val="53"/>
          <w:szCs w:val="53"/>
          <w:lang w:val="en-US" w:eastAsia="zh-CN"/>
        </w:rPr>
        <w:t>委组织部</w:t>
      </w:r>
      <w:r>
        <w:rPr>
          <w:rFonts w:ascii="Times New Roman" w:hAnsi="Times New Roman" w:eastAsia="宋体" w:cs="Times New Roman"/>
          <w:b/>
          <w:bCs/>
          <w:color w:val="333333"/>
          <w:kern w:val="0"/>
          <w:sz w:val="53"/>
          <w:szCs w:val="53"/>
        </w:rPr>
        <w:t>2024</w:t>
      </w:r>
      <w:r>
        <w:rPr>
          <w:rFonts w:ascii="Times New Roman" w:hAnsi="宋体" w:eastAsia="宋体" w:cs="Times New Roman"/>
          <w:b/>
          <w:bCs/>
          <w:color w:val="333333"/>
          <w:kern w:val="0"/>
          <w:sz w:val="53"/>
          <w:szCs w:val="53"/>
        </w:rPr>
        <w:t>年部门预算</w:t>
      </w:r>
    </w:p>
    <w:p w14:paraId="31A56014">
      <w:pPr>
        <w:widowControl/>
        <w:shd w:val="clear" w:color="auto" w:fill="FFFFFF"/>
        <w:jc w:val="center"/>
        <w:rPr>
          <w:rFonts w:ascii="Times New Roman" w:hAnsi="Times New Roman" w:eastAsia="微软雅黑" w:cs="Times New Roman"/>
          <w:color w:val="333333"/>
          <w:kern w:val="0"/>
          <w:sz w:val="24"/>
          <w:szCs w:val="24"/>
        </w:rPr>
      </w:pPr>
    </w:p>
    <w:p w14:paraId="33CEF6A2">
      <w:pPr>
        <w:widowControl/>
        <w:shd w:val="clear" w:color="auto" w:fill="FFFFFF"/>
        <w:jc w:val="center"/>
        <w:rPr>
          <w:rFonts w:ascii="Times New Roman" w:hAnsi="Times New Roman" w:eastAsia="微软雅黑" w:cs="Times New Roman"/>
          <w:color w:val="333333"/>
          <w:kern w:val="0"/>
          <w:sz w:val="24"/>
          <w:szCs w:val="24"/>
        </w:rPr>
      </w:pPr>
    </w:p>
    <w:p w14:paraId="6E851DF3">
      <w:pPr>
        <w:widowControl/>
        <w:shd w:val="clear" w:color="auto" w:fill="FFFFFF"/>
        <w:jc w:val="center"/>
        <w:rPr>
          <w:rFonts w:ascii="Times New Roman" w:hAnsi="Times New Roman" w:eastAsia="微软雅黑" w:cs="Times New Roman"/>
          <w:color w:val="333333"/>
          <w:kern w:val="0"/>
          <w:sz w:val="24"/>
          <w:szCs w:val="24"/>
        </w:rPr>
      </w:pPr>
    </w:p>
    <w:p w14:paraId="72A2272A">
      <w:pPr>
        <w:widowControl/>
        <w:shd w:val="clear" w:color="auto" w:fill="FFFFFF"/>
        <w:jc w:val="center"/>
        <w:rPr>
          <w:rFonts w:ascii="Times New Roman" w:hAnsi="Times New Roman" w:eastAsia="微软雅黑" w:cs="Times New Roman"/>
          <w:color w:val="333333"/>
          <w:kern w:val="0"/>
          <w:sz w:val="24"/>
          <w:szCs w:val="24"/>
        </w:rPr>
      </w:pPr>
    </w:p>
    <w:p w14:paraId="41F2CE6F">
      <w:pPr>
        <w:widowControl/>
        <w:shd w:val="clear" w:color="auto" w:fill="FFFFFF"/>
        <w:jc w:val="center"/>
        <w:rPr>
          <w:rFonts w:ascii="Times New Roman" w:hAnsi="Times New Roman" w:eastAsia="微软雅黑" w:cs="Times New Roman"/>
          <w:color w:val="333333"/>
          <w:kern w:val="0"/>
          <w:sz w:val="24"/>
          <w:szCs w:val="24"/>
        </w:rPr>
      </w:pPr>
    </w:p>
    <w:p w14:paraId="21456BB2">
      <w:pPr>
        <w:widowControl/>
        <w:shd w:val="clear" w:color="auto" w:fill="FFFFFF"/>
        <w:jc w:val="center"/>
        <w:rPr>
          <w:rFonts w:ascii="Times New Roman" w:hAnsi="Times New Roman" w:eastAsia="微软雅黑" w:cs="Times New Roman"/>
          <w:color w:val="333333"/>
          <w:kern w:val="0"/>
          <w:sz w:val="24"/>
          <w:szCs w:val="24"/>
        </w:rPr>
      </w:pPr>
    </w:p>
    <w:p w14:paraId="4DE3225E">
      <w:pPr>
        <w:widowControl/>
        <w:shd w:val="clear" w:color="auto" w:fill="FFFFFF"/>
        <w:jc w:val="center"/>
        <w:rPr>
          <w:rFonts w:ascii="Times New Roman" w:hAnsi="Times New Roman" w:eastAsia="微软雅黑" w:cs="Times New Roman"/>
          <w:color w:val="333333"/>
          <w:kern w:val="0"/>
          <w:sz w:val="24"/>
          <w:szCs w:val="24"/>
        </w:rPr>
      </w:pPr>
    </w:p>
    <w:p w14:paraId="7AE8FAA3">
      <w:pPr>
        <w:widowControl/>
        <w:shd w:val="clear" w:color="auto" w:fill="FFFFFF"/>
        <w:jc w:val="center"/>
        <w:rPr>
          <w:rFonts w:ascii="Times New Roman" w:hAnsi="Times New Roman" w:eastAsia="微软雅黑" w:cs="Times New Roman"/>
          <w:color w:val="333333"/>
          <w:kern w:val="0"/>
          <w:sz w:val="24"/>
          <w:szCs w:val="24"/>
        </w:rPr>
      </w:pPr>
    </w:p>
    <w:p w14:paraId="4930DC67">
      <w:pPr>
        <w:widowControl/>
        <w:shd w:val="clear" w:color="auto" w:fill="FFFFFF"/>
        <w:jc w:val="center"/>
        <w:rPr>
          <w:rFonts w:ascii="Times New Roman" w:hAnsi="Times New Roman" w:eastAsia="微软雅黑" w:cs="Times New Roman"/>
          <w:color w:val="333333"/>
          <w:kern w:val="0"/>
          <w:sz w:val="24"/>
          <w:szCs w:val="24"/>
        </w:rPr>
      </w:pPr>
    </w:p>
    <w:p w14:paraId="7076F43D">
      <w:pPr>
        <w:widowControl/>
        <w:shd w:val="clear" w:color="auto" w:fill="FFFFFF"/>
        <w:jc w:val="center"/>
        <w:rPr>
          <w:rFonts w:ascii="Times New Roman" w:hAnsi="Times New Roman" w:eastAsia="微软雅黑" w:cs="Times New Roman"/>
          <w:color w:val="333333"/>
          <w:kern w:val="0"/>
          <w:sz w:val="24"/>
          <w:szCs w:val="24"/>
        </w:rPr>
      </w:pPr>
    </w:p>
    <w:p w14:paraId="413F2FD5">
      <w:pPr>
        <w:widowControl/>
        <w:shd w:val="clear" w:color="auto" w:fill="FFFFFF"/>
        <w:jc w:val="center"/>
        <w:rPr>
          <w:rFonts w:ascii="Times New Roman" w:hAnsi="Times New Roman" w:eastAsia="微软雅黑" w:cs="Times New Roman"/>
          <w:color w:val="333333"/>
          <w:kern w:val="0"/>
          <w:sz w:val="24"/>
          <w:szCs w:val="24"/>
        </w:rPr>
      </w:pPr>
    </w:p>
    <w:p w14:paraId="4B02AB06">
      <w:pPr>
        <w:widowControl/>
        <w:shd w:val="clear" w:color="auto" w:fill="FFFFFF"/>
        <w:jc w:val="center"/>
        <w:rPr>
          <w:rFonts w:ascii="Times New Roman" w:hAnsi="Times New Roman" w:eastAsia="微软雅黑" w:cs="Times New Roman"/>
          <w:color w:val="333333"/>
          <w:kern w:val="0"/>
          <w:sz w:val="24"/>
          <w:szCs w:val="24"/>
        </w:rPr>
      </w:pPr>
    </w:p>
    <w:p w14:paraId="2E29A077">
      <w:pPr>
        <w:widowControl/>
        <w:shd w:val="clear" w:color="auto" w:fill="FFFFFF"/>
        <w:jc w:val="center"/>
        <w:rPr>
          <w:rFonts w:ascii="Times New Roman" w:hAnsi="Times New Roman" w:eastAsia="微软雅黑" w:cs="Times New Roman"/>
          <w:color w:val="333333"/>
          <w:kern w:val="0"/>
          <w:sz w:val="24"/>
          <w:szCs w:val="24"/>
        </w:rPr>
      </w:pPr>
    </w:p>
    <w:p w14:paraId="6534423D">
      <w:pPr>
        <w:widowControl/>
        <w:shd w:val="clear" w:color="auto" w:fill="FFFFFF"/>
        <w:jc w:val="center"/>
        <w:rPr>
          <w:rFonts w:ascii="Times New Roman" w:hAnsi="Times New Roman" w:eastAsia="微软雅黑" w:cs="Times New Roman"/>
          <w:color w:val="333333"/>
          <w:kern w:val="0"/>
          <w:sz w:val="24"/>
          <w:szCs w:val="24"/>
        </w:rPr>
      </w:pPr>
    </w:p>
    <w:p w14:paraId="4D2BB8F8">
      <w:pPr>
        <w:widowControl/>
        <w:shd w:val="clear" w:color="auto" w:fill="FFFFFF"/>
        <w:jc w:val="center"/>
        <w:rPr>
          <w:rFonts w:ascii="Times New Roman" w:hAnsi="Times New Roman" w:eastAsia="微软雅黑" w:cs="Times New Roman"/>
          <w:color w:val="333333"/>
          <w:kern w:val="0"/>
          <w:sz w:val="24"/>
          <w:szCs w:val="24"/>
        </w:rPr>
      </w:pPr>
    </w:p>
    <w:p w14:paraId="322BAB9B">
      <w:pPr>
        <w:widowControl/>
        <w:shd w:val="clear" w:color="auto" w:fill="FFFFFF"/>
        <w:jc w:val="center"/>
        <w:rPr>
          <w:rFonts w:ascii="Times New Roman" w:hAnsi="Times New Roman" w:eastAsia="微软雅黑" w:cs="Times New Roman"/>
          <w:color w:val="333333"/>
          <w:kern w:val="0"/>
          <w:sz w:val="24"/>
          <w:szCs w:val="24"/>
        </w:rPr>
      </w:pPr>
    </w:p>
    <w:p w14:paraId="38ABD695">
      <w:pPr>
        <w:widowControl/>
        <w:shd w:val="clear" w:color="auto" w:fill="FFFFFF"/>
        <w:jc w:val="center"/>
        <w:rPr>
          <w:rFonts w:ascii="Times New Roman" w:hAnsi="Times New Roman" w:eastAsia="微软雅黑" w:cs="Times New Roman"/>
          <w:color w:val="333333"/>
          <w:kern w:val="0"/>
          <w:sz w:val="24"/>
          <w:szCs w:val="24"/>
        </w:rPr>
      </w:pPr>
    </w:p>
    <w:p w14:paraId="7A0FE74C">
      <w:pPr>
        <w:widowControl/>
        <w:shd w:val="clear" w:color="auto" w:fill="FFFFFF"/>
        <w:jc w:val="center"/>
        <w:rPr>
          <w:rFonts w:ascii="Times New Roman" w:hAnsi="Times New Roman" w:eastAsia="微软雅黑" w:cs="Times New Roman"/>
          <w:color w:val="333333"/>
          <w:kern w:val="0"/>
          <w:sz w:val="24"/>
          <w:szCs w:val="24"/>
        </w:rPr>
      </w:pPr>
    </w:p>
    <w:p w14:paraId="265CB20D">
      <w:pPr>
        <w:widowControl/>
        <w:shd w:val="clear" w:color="auto" w:fill="FFFFFF"/>
        <w:jc w:val="center"/>
        <w:rPr>
          <w:rFonts w:ascii="Times New Roman" w:hAnsi="Times New Roman" w:eastAsia="微软雅黑" w:cs="Times New Roman"/>
          <w:color w:val="333333"/>
          <w:kern w:val="0"/>
          <w:sz w:val="24"/>
          <w:szCs w:val="24"/>
        </w:rPr>
      </w:pPr>
    </w:p>
    <w:p w14:paraId="138335C8">
      <w:pPr>
        <w:widowControl/>
        <w:shd w:val="clear" w:color="auto" w:fill="FFFFFF"/>
        <w:jc w:val="center"/>
        <w:rPr>
          <w:rFonts w:ascii="Times New Roman" w:hAnsi="Times New Roman" w:eastAsia="微软雅黑" w:cs="Times New Roman"/>
          <w:color w:val="333333"/>
          <w:kern w:val="0"/>
          <w:sz w:val="24"/>
          <w:szCs w:val="24"/>
        </w:rPr>
      </w:pPr>
    </w:p>
    <w:p w14:paraId="259548AA">
      <w:pPr>
        <w:widowControl/>
        <w:shd w:val="clear" w:color="auto" w:fill="FFFFFF"/>
        <w:jc w:val="center"/>
        <w:rPr>
          <w:rFonts w:ascii="Times New Roman" w:hAnsi="Times New Roman" w:eastAsia="微软雅黑" w:cs="Times New Roman"/>
          <w:color w:val="333333"/>
          <w:kern w:val="0"/>
          <w:sz w:val="24"/>
          <w:szCs w:val="24"/>
        </w:rPr>
      </w:pPr>
    </w:p>
    <w:p w14:paraId="3530673F">
      <w:pPr>
        <w:widowControl/>
        <w:shd w:val="clear" w:color="auto" w:fill="FFFFFF"/>
        <w:jc w:val="center"/>
        <w:rPr>
          <w:rFonts w:ascii="Times New Roman" w:hAnsi="Times New Roman" w:eastAsia="微软雅黑" w:cs="Times New Roman"/>
          <w:color w:val="333333"/>
          <w:kern w:val="0"/>
          <w:sz w:val="24"/>
          <w:szCs w:val="24"/>
        </w:rPr>
      </w:pPr>
    </w:p>
    <w:p w14:paraId="511979FC">
      <w:pPr>
        <w:widowControl/>
        <w:shd w:val="clear" w:color="auto" w:fill="FFFFFF"/>
        <w:jc w:val="center"/>
        <w:rPr>
          <w:rFonts w:ascii="Times New Roman" w:hAnsi="Times New Roman" w:eastAsia="微软雅黑" w:cs="Times New Roman"/>
          <w:color w:val="333333"/>
          <w:kern w:val="0"/>
          <w:sz w:val="24"/>
          <w:szCs w:val="24"/>
        </w:rPr>
      </w:pPr>
    </w:p>
    <w:p w14:paraId="16309156">
      <w:pPr>
        <w:widowControl/>
        <w:shd w:val="clear" w:color="auto" w:fill="FFFFFF"/>
        <w:jc w:val="center"/>
        <w:rPr>
          <w:rFonts w:ascii="Times New Roman" w:hAnsi="Times New Roman" w:eastAsia="微软雅黑" w:cs="Times New Roman"/>
          <w:color w:val="333333"/>
          <w:kern w:val="0"/>
          <w:sz w:val="24"/>
          <w:szCs w:val="24"/>
        </w:rPr>
      </w:pPr>
    </w:p>
    <w:p w14:paraId="48FFD31A">
      <w:pPr>
        <w:widowControl/>
        <w:shd w:val="clear" w:color="auto" w:fill="FFFFFF"/>
        <w:jc w:val="center"/>
        <w:rPr>
          <w:rFonts w:ascii="Times New Roman" w:hAnsi="Times New Roman" w:eastAsia="微软雅黑" w:cs="Times New Roman"/>
          <w:color w:val="333333"/>
          <w:kern w:val="0"/>
          <w:sz w:val="24"/>
          <w:szCs w:val="24"/>
        </w:rPr>
      </w:pPr>
    </w:p>
    <w:p w14:paraId="46616A01">
      <w:pPr>
        <w:widowControl/>
        <w:shd w:val="clear" w:color="auto" w:fill="FFFFFF"/>
        <w:jc w:val="center"/>
        <w:rPr>
          <w:rFonts w:ascii="Times New Roman" w:hAnsi="Times New Roman" w:eastAsia="微软雅黑" w:cs="Times New Roman"/>
          <w:color w:val="333333"/>
          <w:kern w:val="0"/>
          <w:sz w:val="24"/>
          <w:szCs w:val="24"/>
        </w:rPr>
      </w:pPr>
    </w:p>
    <w:p w14:paraId="4AB9E726">
      <w:pPr>
        <w:widowControl/>
        <w:shd w:val="clear" w:color="auto" w:fill="FFFFFF"/>
        <w:jc w:val="center"/>
        <w:rPr>
          <w:rFonts w:ascii="Times New Roman" w:hAnsi="Times New Roman" w:eastAsia="微软雅黑" w:cs="Times New Roman"/>
          <w:color w:val="333333"/>
          <w:kern w:val="0"/>
          <w:sz w:val="24"/>
          <w:szCs w:val="24"/>
        </w:rPr>
      </w:pPr>
    </w:p>
    <w:p w14:paraId="0E5FE0AA">
      <w:pPr>
        <w:widowControl/>
        <w:shd w:val="clear" w:color="auto" w:fill="FFFFFF"/>
        <w:jc w:val="center"/>
        <w:rPr>
          <w:rFonts w:hint="default" w:ascii="Times New Roman" w:hAnsi="Times New Roman" w:eastAsia="宋体" w:cs="Times New Roman"/>
          <w:color w:val="333333"/>
          <w:kern w:val="0"/>
          <w:sz w:val="24"/>
          <w:szCs w:val="24"/>
          <w:lang w:val="en-US" w:eastAsia="zh-CN"/>
        </w:rPr>
      </w:pPr>
      <w:r>
        <w:rPr>
          <w:rFonts w:hint="eastAsia" w:ascii="Times New Roman" w:hAnsi="宋体" w:eastAsia="宋体" w:cs="Times New Roman"/>
          <w:b/>
          <w:bCs/>
          <w:color w:val="333333"/>
          <w:kern w:val="0"/>
          <w:sz w:val="44"/>
          <w:szCs w:val="44"/>
          <w:lang w:val="en-US" w:eastAsia="zh-CN"/>
        </w:rPr>
        <w:t>中共</w:t>
      </w:r>
      <w:r>
        <w:rPr>
          <w:rFonts w:ascii="Times New Roman" w:hAnsi="宋体" w:eastAsia="宋体" w:cs="Times New Roman"/>
          <w:b/>
          <w:bCs/>
          <w:color w:val="333333"/>
          <w:kern w:val="0"/>
          <w:sz w:val="44"/>
          <w:szCs w:val="44"/>
        </w:rPr>
        <w:t>本溪市溪湖区</w:t>
      </w:r>
      <w:r>
        <w:rPr>
          <w:rFonts w:hint="eastAsia" w:ascii="Times New Roman" w:hAnsi="宋体" w:eastAsia="宋体" w:cs="Times New Roman"/>
          <w:b/>
          <w:bCs/>
          <w:color w:val="333333"/>
          <w:kern w:val="0"/>
          <w:sz w:val="44"/>
          <w:szCs w:val="44"/>
          <w:lang w:val="en-US" w:eastAsia="zh-CN"/>
        </w:rPr>
        <w:t>委组织部</w:t>
      </w:r>
    </w:p>
    <w:p w14:paraId="415BEA3D">
      <w:pPr>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44"/>
          <w:szCs w:val="44"/>
        </w:rPr>
        <w:t>目录</w:t>
      </w:r>
    </w:p>
    <w:p w14:paraId="2A56024B">
      <w:pPr>
        <w:widowControl/>
        <w:shd w:val="clear" w:color="auto" w:fill="FFFFFF"/>
        <w:spacing w:line="560" w:lineRule="exact"/>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第一部分</w:t>
      </w:r>
      <w:r>
        <w:rPr>
          <w:rFonts w:ascii="Times New Roman" w:hAnsi="Times New Roman" w:eastAsia="黑体" w:cs="Times New Roman"/>
          <w:color w:val="333333"/>
          <w:kern w:val="0"/>
          <w:sz w:val="32"/>
          <w:szCs w:val="32"/>
        </w:rPr>
        <w:t xml:space="preserve"> </w:t>
      </w:r>
      <w:r>
        <w:rPr>
          <w:rFonts w:ascii="Times New Roman" w:hAnsi="黑体" w:eastAsia="黑体" w:cs="Times New Roman"/>
          <w:color w:val="333333"/>
          <w:kern w:val="0"/>
          <w:sz w:val="32"/>
          <w:szCs w:val="32"/>
        </w:rPr>
        <w:t>部门预算公开管理文件</w:t>
      </w:r>
    </w:p>
    <w:p w14:paraId="5C3C87C1">
      <w:pPr>
        <w:widowControl/>
        <w:shd w:val="clear" w:color="auto" w:fill="FFFFFF"/>
        <w:spacing w:line="560" w:lineRule="exact"/>
        <w:jc w:val="left"/>
        <w:rPr>
          <w:rFonts w:ascii="Times New Roman" w:hAnsi="黑体" w:eastAsia="黑体" w:cs="Times New Roman"/>
          <w:color w:val="333333"/>
          <w:kern w:val="0"/>
          <w:sz w:val="32"/>
          <w:szCs w:val="32"/>
        </w:rPr>
      </w:pPr>
      <w:r>
        <w:rPr>
          <w:rFonts w:ascii="Times New Roman" w:hAnsi="黑体" w:eastAsia="黑体" w:cs="Times New Roman"/>
          <w:color w:val="333333"/>
          <w:kern w:val="0"/>
          <w:sz w:val="32"/>
          <w:szCs w:val="32"/>
        </w:rPr>
        <w:t>第二部分</w:t>
      </w:r>
      <w:r>
        <w:rPr>
          <w:rFonts w:ascii="Times New Roman" w:hAnsi="Times New Roman" w:eastAsia="黑体" w:cs="Times New Roman"/>
          <w:color w:val="333333"/>
          <w:kern w:val="0"/>
          <w:sz w:val="32"/>
          <w:szCs w:val="32"/>
        </w:rPr>
        <w:t xml:space="preserve"> </w:t>
      </w:r>
      <w:r>
        <w:rPr>
          <w:rFonts w:hint="eastAsia" w:ascii="Times New Roman" w:hAnsi="Times New Roman" w:eastAsia="黑体" w:cs="Times New Roman"/>
          <w:color w:val="333333"/>
          <w:kern w:val="0"/>
          <w:sz w:val="32"/>
          <w:szCs w:val="32"/>
          <w:lang w:val="en-US" w:eastAsia="zh-CN"/>
        </w:rPr>
        <w:t>中共</w:t>
      </w:r>
      <w:r>
        <w:rPr>
          <w:rFonts w:ascii="Times New Roman" w:hAnsi="黑体" w:eastAsia="黑体" w:cs="Times New Roman"/>
          <w:color w:val="333333"/>
          <w:kern w:val="0"/>
          <w:sz w:val="32"/>
          <w:szCs w:val="32"/>
        </w:rPr>
        <w:t>本溪市溪湖区</w:t>
      </w:r>
      <w:r>
        <w:rPr>
          <w:rFonts w:hint="eastAsia" w:ascii="Times New Roman" w:hAnsi="黑体" w:eastAsia="黑体" w:cs="Times New Roman"/>
          <w:color w:val="333333"/>
          <w:kern w:val="0"/>
          <w:sz w:val="32"/>
          <w:szCs w:val="32"/>
          <w:lang w:val="en-US" w:eastAsia="zh-CN"/>
        </w:rPr>
        <w:t>委组织部</w:t>
      </w:r>
      <w:r>
        <w:rPr>
          <w:rFonts w:ascii="Times New Roman" w:hAnsi="黑体" w:eastAsia="黑体" w:cs="Times New Roman"/>
          <w:color w:val="333333"/>
          <w:kern w:val="0"/>
          <w:sz w:val="32"/>
          <w:szCs w:val="32"/>
        </w:rPr>
        <w:t>概况</w:t>
      </w:r>
    </w:p>
    <w:p w14:paraId="13A6C354">
      <w:pPr>
        <w:widowControl/>
        <w:shd w:val="clear" w:color="auto" w:fill="FFFFFF"/>
        <w:spacing w:line="560" w:lineRule="exact"/>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第三部分</w:t>
      </w:r>
      <w:r>
        <w:rPr>
          <w:rFonts w:ascii="Times New Roman" w:hAnsi="Times New Roman" w:eastAsia="黑体" w:cs="Times New Roman"/>
          <w:color w:val="333333"/>
          <w:kern w:val="0"/>
          <w:sz w:val="32"/>
          <w:szCs w:val="32"/>
        </w:rPr>
        <w:t xml:space="preserve"> </w:t>
      </w:r>
      <w:r>
        <w:rPr>
          <w:rFonts w:hint="eastAsia" w:ascii="Times New Roman" w:hAnsi="Times New Roman" w:eastAsia="黑体" w:cs="Times New Roman"/>
          <w:color w:val="333333"/>
          <w:kern w:val="0"/>
          <w:sz w:val="32"/>
          <w:szCs w:val="32"/>
          <w:lang w:val="en-US" w:eastAsia="zh-CN"/>
        </w:rPr>
        <w:t>中共</w:t>
      </w:r>
      <w:r>
        <w:rPr>
          <w:rFonts w:ascii="Times New Roman" w:hAnsi="黑体" w:eastAsia="黑体" w:cs="Times New Roman"/>
          <w:color w:val="333333"/>
          <w:kern w:val="0"/>
          <w:sz w:val="32"/>
          <w:szCs w:val="32"/>
        </w:rPr>
        <w:t>本溪市溪湖</w:t>
      </w:r>
      <w:r>
        <w:rPr>
          <w:rFonts w:hint="eastAsia" w:ascii="Times New Roman" w:hAnsi="黑体" w:eastAsia="黑体" w:cs="Times New Roman"/>
          <w:color w:val="333333"/>
          <w:kern w:val="0"/>
          <w:sz w:val="32"/>
          <w:szCs w:val="32"/>
          <w:lang w:val="en-US" w:eastAsia="zh-CN"/>
        </w:rPr>
        <w:t>区委组织部</w:t>
      </w:r>
      <w:r>
        <w:rPr>
          <w:rFonts w:ascii="Times New Roman" w:hAnsi="Times New Roman" w:eastAsia="黑体" w:cs="Times New Roman"/>
          <w:color w:val="333333"/>
          <w:kern w:val="0"/>
          <w:sz w:val="32"/>
          <w:szCs w:val="32"/>
        </w:rPr>
        <w:t>2024</w:t>
      </w:r>
      <w:r>
        <w:rPr>
          <w:rFonts w:ascii="Times New Roman" w:hAnsi="黑体" w:eastAsia="黑体" w:cs="Times New Roman"/>
          <w:color w:val="333333"/>
          <w:kern w:val="0"/>
          <w:sz w:val="32"/>
          <w:szCs w:val="32"/>
        </w:rPr>
        <w:t>年部门预算情况说明</w:t>
      </w:r>
    </w:p>
    <w:p w14:paraId="5AAD875A">
      <w:pPr>
        <w:widowControl/>
        <w:shd w:val="clear" w:color="auto" w:fill="FFFFFF"/>
        <w:spacing w:line="560" w:lineRule="exact"/>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第四部分</w:t>
      </w:r>
      <w:r>
        <w:rPr>
          <w:rFonts w:ascii="Times New Roman" w:hAnsi="Times New Roman" w:eastAsia="黑体" w:cs="Times New Roman"/>
          <w:color w:val="333333"/>
          <w:kern w:val="0"/>
          <w:sz w:val="32"/>
          <w:szCs w:val="32"/>
        </w:rPr>
        <w:t xml:space="preserve"> </w:t>
      </w:r>
      <w:r>
        <w:rPr>
          <w:rFonts w:ascii="Times New Roman" w:hAnsi="黑体" w:eastAsia="黑体" w:cs="Times New Roman"/>
          <w:color w:val="333333"/>
          <w:kern w:val="0"/>
          <w:sz w:val="32"/>
          <w:szCs w:val="32"/>
        </w:rPr>
        <w:t>名词解释</w:t>
      </w:r>
    </w:p>
    <w:p w14:paraId="18A4058F">
      <w:pPr>
        <w:widowControl/>
        <w:shd w:val="clear" w:color="auto" w:fill="FFFFFF"/>
        <w:spacing w:line="560" w:lineRule="exact"/>
        <w:jc w:val="left"/>
        <w:rPr>
          <w:rFonts w:ascii="Times New Roman" w:hAnsi="Times New Roman" w:eastAsia="黑体" w:cs="Times New Roman"/>
          <w:color w:val="333333"/>
          <w:kern w:val="0"/>
          <w:sz w:val="32"/>
          <w:szCs w:val="32"/>
        </w:rPr>
      </w:pPr>
      <w:r>
        <w:rPr>
          <w:rFonts w:ascii="Times New Roman" w:hAnsi="黑体" w:eastAsia="黑体" w:cs="Times New Roman"/>
          <w:color w:val="333333"/>
          <w:kern w:val="0"/>
          <w:sz w:val="32"/>
          <w:szCs w:val="32"/>
        </w:rPr>
        <w:t>第五部分</w:t>
      </w:r>
      <w:r>
        <w:rPr>
          <w:rFonts w:ascii="Times New Roman" w:hAnsi="Times New Roman" w:eastAsia="黑体" w:cs="Times New Roman"/>
          <w:color w:val="333333"/>
          <w:kern w:val="0"/>
          <w:sz w:val="32"/>
          <w:szCs w:val="32"/>
        </w:rPr>
        <w:t xml:space="preserve"> 2024</w:t>
      </w:r>
      <w:r>
        <w:rPr>
          <w:rFonts w:ascii="Times New Roman" w:hAnsi="黑体" w:eastAsia="黑体" w:cs="Times New Roman"/>
          <w:color w:val="333333"/>
          <w:kern w:val="0"/>
          <w:sz w:val="32"/>
          <w:szCs w:val="32"/>
        </w:rPr>
        <w:t>年本溪市溪湖区部门预算批复公开表</w:t>
      </w:r>
    </w:p>
    <w:p w14:paraId="76030FAB">
      <w:pPr>
        <w:widowControl/>
        <w:shd w:val="clear" w:color="auto" w:fill="FFFFFF"/>
        <w:spacing w:line="560" w:lineRule="exact"/>
        <w:jc w:val="left"/>
        <w:rPr>
          <w:rFonts w:ascii="Times New Roman" w:hAnsi="Times New Roman" w:eastAsia="黑体" w:cs="Times New Roman"/>
          <w:color w:val="333333"/>
          <w:kern w:val="0"/>
          <w:sz w:val="32"/>
          <w:szCs w:val="32"/>
        </w:rPr>
      </w:pPr>
    </w:p>
    <w:p w14:paraId="2978CD48">
      <w:pPr>
        <w:widowControl/>
        <w:shd w:val="clear" w:color="auto" w:fill="FFFFFF"/>
        <w:spacing w:line="560" w:lineRule="exact"/>
        <w:jc w:val="left"/>
        <w:rPr>
          <w:rFonts w:ascii="Times New Roman" w:hAnsi="Times New Roman" w:eastAsia="黑体" w:cs="Times New Roman"/>
          <w:color w:val="333333"/>
          <w:kern w:val="0"/>
          <w:sz w:val="32"/>
          <w:szCs w:val="32"/>
        </w:rPr>
      </w:pPr>
    </w:p>
    <w:p w14:paraId="70B321B4">
      <w:pPr>
        <w:widowControl/>
        <w:shd w:val="clear" w:color="auto" w:fill="FFFFFF"/>
        <w:spacing w:line="560" w:lineRule="exact"/>
        <w:jc w:val="left"/>
        <w:rPr>
          <w:rFonts w:ascii="Times New Roman" w:hAnsi="Times New Roman" w:eastAsia="黑体" w:cs="Times New Roman"/>
          <w:color w:val="333333"/>
          <w:kern w:val="0"/>
          <w:sz w:val="32"/>
          <w:szCs w:val="32"/>
        </w:rPr>
      </w:pPr>
    </w:p>
    <w:p w14:paraId="4A837BAB">
      <w:pPr>
        <w:widowControl/>
        <w:shd w:val="clear" w:color="auto" w:fill="FFFFFF"/>
        <w:spacing w:line="560" w:lineRule="exact"/>
        <w:jc w:val="left"/>
        <w:rPr>
          <w:rFonts w:ascii="Times New Roman" w:hAnsi="Times New Roman" w:eastAsia="黑体" w:cs="Times New Roman"/>
          <w:color w:val="333333"/>
          <w:kern w:val="0"/>
          <w:sz w:val="32"/>
          <w:szCs w:val="32"/>
        </w:rPr>
      </w:pPr>
    </w:p>
    <w:p w14:paraId="43576E64">
      <w:pPr>
        <w:widowControl/>
        <w:shd w:val="clear" w:color="auto" w:fill="FFFFFF"/>
        <w:spacing w:line="560" w:lineRule="exact"/>
        <w:jc w:val="left"/>
        <w:rPr>
          <w:rFonts w:ascii="Times New Roman" w:hAnsi="Times New Roman" w:eastAsia="黑体" w:cs="Times New Roman"/>
          <w:color w:val="333333"/>
          <w:kern w:val="0"/>
          <w:sz w:val="32"/>
          <w:szCs w:val="32"/>
        </w:rPr>
      </w:pPr>
    </w:p>
    <w:p w14:paraId="20146214">
      <w:pPr>
        <w:widowControl/>
        <w:shd w:val="clear" w:color="auto" w:fill="FFFFFF"/>
        <w:spacing w:line="560" w:lineRule="exact"/>
        <w:jc w:val="left"/>
        <w:rPr>
          <w:rFonts w:ascii="Times New Roman" w:hAnsi="Times New Roman" w:eastAsia="黑体" w:cs="Times New Roman"/>
          <w:color w:val="333333"/>
          <w:kern w:val="0"/>
          <w:sz w:val="32"/>
          <w:szCs w:val="32"/>
        </w:rPr>
      </w:pPr>
    </w:p>
    <w:p w14:paraId="1DCFEB4A">
      <w:pPr>
        <w:widowControl/>
        <w:shd w:val="clear" w:color="auto" w:fill="FFFFFF"/>
        <w:spacing w:line="560" w:lineRule="exact"/>
        <w:jc w:val="left"/>
        <w:rPr>
          <w:rFonts w:ascii="Times New Roman" w:hAnsi="Times New Roman" w:eastAsia="黑体" w:cs="Times New Roman"/>
          <w:color w:val="333333"/>
          <w:kern w:val="0"/>
          <w:sz w:val="32"/>
          <w:szCs w:val="32"/>
        </w:rPr>
      </w:pPr>
    </w:p>
    <w:p w14:paraId="0AFDA78C">
      <w:pPr>
        <w:widowControl/>
        <w:shd w:val="clear" w:color="auto" w:fill="FFFFFF"/>
        <w:spacing w:line="560" w:lineRule="exact"/>
        <w:jc w:val="left"/>
        <w:rPr>
          <w:rFonts w:ascii="Times New Roman" w:hAnsi="Times New Roman" w:eastAsia="黑体" w:cs="Times New Roman"/>
          <w:color w:val="333333"/>
          <w:kern w:val="0"/>
          <w:sz w:val="32"/>
          <w:szCs w:val="32"/>
        </w:rPr>
      </w:pPr>
    </w:p>
    <w:p w14:paraId="6B67485E">
      <w:pPr>
        <w:widowControl/>
        <w:shd w:val="clear" w:color="auto" w:fill="FFFFFF"/>
        <w:spacing w:line="560" w:lineRule="exact"/>
        <w:jc w:val="left"/>
        <w:rPr>
          <w:rFonts w:ascii="Times New Roman" w:hAnsi="Times New Roman" w:eastAsia="黑体" w:cs="Times New Roman"/>
          <w:color w:val="333333"/>
          <w:kern w:val="0"/>
          <w:sz w:val="32"/>
          <w:szCs w:val="32"/>
        </w:rPr>
      </w:pPr>
    </w:p>
    <w:p w14:paraId="5DF7A05E">
      <w:pPr>
        <w:widowControl/>
        <w:shd w:val="clear" w:color="auto" w:fill="FFFFFF"/>
        <w:spacing w:line="560" w:lineRule="exact"/>
        <w:jc w:val="left"/>
        <w:rPr>
          <w:rFonts w:ascii="Times New Roman" w:hAnsi="Times New Roman" w:eastAsia="黑体" w:cs="Times New Roman"/>
          <w:color w:val="333333"/>
          <w:kern w:val="0"/>
          <w:sz w:val="32"/>
          <w:szCs w:val="32"/>
        </w:rPr>
      </w:pPr>
    </w:p>
    <w:p w14:paraId="4C1A2CF9">
      <w:pPr>
        <w:widowControl/>
        <w:shd w:val="clear" w:color="auto" w:fill="FFFFFF"/>
        <w:spacing w:line="560" w:lineRule="exact"/>
        <w:jc w:val="left"/>
        <w:rPr>
          <w:rFonts w:ascii="Times New Roman" w:hAnsi="Times New Roman" w:eastAsia="黑体" w:cs="Times New Roman"/>
          <w:color w:val="333333"/>
          <w:kern w:val="0"/>
          <w:sz w:val="32"/>
          <w:szCs w:val="32"/>
        </w:rPr>
      </w:pPr>
    </w:p>
    <w:p w14:paraId="69A973FE">
      <w:pPr>
        <w:widowControl/>
        <w:shd w:val="clear" w:color="auto" w:fill="FFFFFF"/>
        <w:spacing w:line="560" w:lineRule="exact"/>
        <w:jc w:val="left"/>
        <w:rPr>
          <w:rFonts w:ascii="Times New Roman" w:hAnsi="Times New Roman" w:eastAsia="黑体" w:cs="Times New Roman"/>
          <w:color w:val="333333"/>
          <w:kern w:val="0"/>
          <w:sz w:val="32"/>
          <w:szCs w:val="32"/>
        </w:rPr>
      </w:pPr>
    </w:p>
    <w:p w14:paraId="76567138">
      <w:pPr>
        <w:widowControl/>
        <w:shd w:val="clear" w:color="auto" w:fill="FFFFFF"/>
        <w:spacing w:line="560" w:lineRule="exact"/>
        <w:jc w:val="left"/>
        <w:rPr>
          <w:rFonts w:ascii="Times New Roman" w:hAnsi="Times New Roman" w:eastAsia="黑体" w:cs="Times New Roman"/>
          <w:color w:val="333333"/>
          <w:kern w:val="0"/>
          <w:sz w:val="32"/>
          <w:szCs w:val="32"/>
        </w:rPr>
      </w:pPr>
    </w:p>
    <w:p w14:paraId="63BE696A">
      <w:pPr>
        <w:widowControl/>
        <w:shd w:val="clear" w:color="auto" w:fill="FFFFFF"/>
        <w:spacing w:line="560" w:lineRule="exact"/>
        <w:jc w:val="left"/>
        <w:rPr>
          <w:rFonts w:ascii="Times New Roman" w:hAnsi="Times New Roman" w:eastAsia="黑体" w:cs="Times New Roman"/>
          <w:color w:val="333333"/>
          <w:kern w:val="0"/>
          <w:sz w:val="32"/>
          <w:szCs w:val="32"/>
        </w:rPr>
      </w:pPr>
    </w:p>
    <w:p w14:paraId="6DDCD827">
      <w:pPr>
        <w:widowControl/>
        <w:shd w:val="clear" w:color="auto" w:fill="FFFFFF"/>
        <w:spacing w:line="560" w:lineRule="exact"/>
        <w:jc w:val="left"/>
        <w:rPr>
          <w:rFonts w:ascii="Times New Roman" w:hAnsi="Times New Roman" w:eastAsia="微软雅黑" w:cs="Times New Roman"/>
          <w:color w:val="333333"/>
          <w:kern w:val="0"/>
          <w:sz w:val="24"/>
          <w:szCs w:val="24"/>
        </w:rPr>
        <w:sectPr>
          <w:footerReference r:id="rId3" w:type="default"/>
          <w:pgSz w:w="11906" w:h="16838"/>
          <w:pgMar w:top="1440" w:right="1800" w:bottom="1440" w:left="1800" w:header="851" w:footer="992" w:gutter="0"/>
          <w:cols w:space="425" w:num="1"/>
          <w:docGrid w:type="lines" w:linePitch="312" w:charSpace="0"/>
        </w:sectPr>
      </w:pPr>
    </w:p>
    <w:p w14:paraId="1BB5D820">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第一部分</w:t>
      </w:r>
      <w:r>
        <w:rPr>
          <w:rFonts w:ascii="Times New Roman" w:hAnsi="Times New Roman" w:eastAsia="宋体" w:cs="Times New Roman"/>
          <w:b/>
          <w:bCs/>
          <w:color w:val="333333"/>
          <w:kern w:val="0"/>
          <w:sz w:val="36"/>
          <w:szCs w:val="36"/>
        </w:rPr>
        <w:t xml:space="preserve"> </w:t>
      </w:r>
      <w:r>
        <w:rPr>
          <w:rFonts w:ascii="Times New Roman" w:hAnsi="宋体" w:eastAsia="宋体" w:cs="Times New Roman"/>
          <w:b/>
          <w:bCs/>
          <w:color w:val="333333"/>
          <w:kern w:val="0"/>
          <w:sz w:val="36"/>
          <w:szCs w:val="36"/>
        </w:rPr>
        <w:t>部门预算公开管理文件</w:t>
      </w:r>
    </w:p>
    <w:p w14:paraId="7FA68C70">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p>
    <w:p w14:paraId="439E339F">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《关于印发&lt;本溪市财政局部门预决算信息公开管理办法（试行）&gt;的通知》(本财发〔2020〕36号)、本溪市财政局部门预决算信息公开管理办法（试行）</w:t>
      </w:r>
    </w:p>
    <w:p w14:paraId="0792B4C0">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单位实际，制定本办法。</w:t>
      </w:r>
    </w:p>
    <w:p w14:paraId="774ABDA2">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第二条本办法适用于</w:t>
      </w:r>
      <w:r>
        <w:rPr>
          <w:rFonts w:hint="eastAsia" w:ascii="Times New Roman" w:hAnsi="Times New Roman" w:eastAsia="仿宋_GB2312" w:cs="Times New Roman"/>
          <w:color w:val="333333"/>
          <w:kern w:val="0"/>
          <w:sz w:val="32"/>
          <w:szCs w:val="32"/>
          <w:lang w:val="en-US" w:eastAsia="zh-CN"/>
        </w:rPr>
        <w:t>中共</w:t>
      </w:r>
      <w:r>
        <w:rPr>
          <w:rFonts w:ascii="Times New Roman" w:hAnsi="Times New Roman" w:eastAsia="仿宋_GB2312" w:cs="Times New Roman"/>
          <w:color w:val="333333"/>
          <w:kern w:val="0"/>
          <w:sz w:val="32"/>
          <w:szCs w:val="32"/>
        </w:rPr>
        <w:t>本溪市溪湖区</w:t>
      </w:r>
      <w:r>
        <w:rPr>
          <w:rFonts w:hint="eastAsia" w:ascii="Times New Roman" w:hAnsi="Times New Roman" w:eastAsia="仿宋_GB2312" w:cs="Times New Roman"/>
          <w:color w:val="333333"/>
          <w:kern w:val="0"/>
          <w:sz w:val="32"/>
          <w:szCs w:val="32"/>
          <w:lang w:val="en-US" w:eastAsia="zh-CN"/>
        </w:rPr>
        <w:t>委组织部</w:t>
      </w:r>
      <w:r>
        <w:rPr>
          <w:rFonts w:ascii="Times New Roman" w:hAnsi="Times New Roman" w:eastAsia="仿宋_GB2312" w:cs="Times New Roman"/>
          <w:color w:val="333333"/>
          <w:kern w:val="0"/>
          <w:sz w:val="32"/>
          <w:szCs w:val="32"/>
        </w:rPr>
        <w:t>部门预决算信息公开管理。</w:t>
      </w:r>
    </w:p>
    <w:p w14:paraId="0A4781F2">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第三条本办法所称部门预决算信息包括预算收支安排、预算执行、决算数据等。</w:t>
      </w:r>
    </w:p>
    <w:p w14:paraId="319E60EE">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14:paraId="51679801">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第五条财务核算部负责我单位部门预决算信息公开工作，履行下列职责：</w:t>
      </w:r>
    </w:p>
    <w:p w14:paraId="383C2F30">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（一）制定我单位部门预决算信息公开的工作方案；</w:t>
      </w:r>
    </w:p>
    <w:p w14:paraId="0654B5D3">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（二）按规定公开我单位部门预决算信息；</w:t>
      </w:r>
    </w:p>
    <w:p w14:paraId="68C944AE">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（三）按规定做好公民、法人或者其他组织依申请公开部门预决算信息的答复工作。</w:t>
      </w:r>
    </w:p>
    <w:p w14:paraId="344A2BD9">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第六条部门预决算信息公开内容包括：</w:t>
      </w:r>
    </w:p>
    <w:p w14:paraId="779B17A2">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（一）部门文件。部门预决算信息公开管理办法。</w:t>
      </w:r>
    </w:p>
    <w:p w14:paraId="1FF4E8BB">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（二）部门概况。包括部门职责、机构设置、实有人员等情况。</w:t>
      </w:r>
    </w:p>
    <w:p w14:paraId="5FF6ADAA">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（三）预决算收支情况表。包括部门收支总体情况、财政拨款安排使用情况、“三公”经费财政拨款安排使用情况等。</w:t>
      </w:r>
    </w:p>
    <w:p w14:paraId="6E255AB2">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（四）情况说明。包括预决算年度收支、机关运行经费、政府采购、“三公”经费、国有资产占有使用和项目支出绩效目标等情况说明。</w:t>
      </w:r>
    </w:p>
    <w:p w14:paraId="4856AAD4">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（五）名词解释。对预决算相关专业名词进行解释说明。</w:t>
      </w:r>
    </w:p>
    <w:p w14:paraId="703BD0EC">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第七条部门预决算信息在我单位门户网站“财政预决算”专栏公开，并保持长期公开状态，便于社会公众查询监督。</w:t>
      </w:r>
    </w:p>
    <w:p w14:paraId="6283B3DD">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第八条经区财政局批复的部门预决算及报表，应当在批复后20日内公开。</w:t>
      </w:r>
    </w:p>
    <w:p w14:paraId="63723F13">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第九条本办法自印发之日起实行。</w:t>
      </w:r>
    </w:p>
    <w:p w14:paraId="6EE27C24">
      <w:pPr>
        <w:keepLines/>
        <w:widowControl/>
        <w:shd w:val="clear" w:color="auto" w:fill="FFFFFF"/>
        <w:jc w:val="center"/>
        <w:rPr>
          <w:rFonts w:ascii="Times New Roman" w:hAnsi="Times New Roman" w:eastAsia="微软雅黑" w:cs="Times New Roman"/>
          <w:color w:val="333333"/>
          <w:kern w:val="0"/>
          <w:sz w:val="24"/>
          <w:szCs w:val="24"/>
        </w:rPr>
      </w:pPr>
    </w:p>
    <w:p w14:paraId="59ABFF7A">
      <w:pPr>
        <w:keepLines/>
        <w:widowControl/>
        <w:shd w:val="clear" w:color="auto" w:fill="FFFFFF"/>
        <w:jc w:val="center"/>
        <w:rPr>
          <w:rFonts w:ascii="Times New Roman" w:hAnsi="Times New Roman" w:eastAsia="微软雅黑" w:cs="Times New Roman"/>
          <w:color w:val="333333"/>
          <w:kern w:val="0"/>
          <w:sz w:val="24"/>
          <w:szCs w:val="24"/>
        </w:rPr>
      </w:pPr>
    </w:p>
    <w:p w14:paraId="756DD487">
      <w:pPr>
        <w:keepLines/>
        <w:widowControl/>
        <w:shd w:val="clear" w:color="auto" w:fill="FFFFFF"/>
        <w:jc w:val="center"/>
        <w:rPr>
          <w:rFonts w:ascii="Times New Roman" w:hAnsi="Times New Roman" w:eastAsia="微软雅黑" w:cs="Times New Roman"/>
          <w:color w:val="333333"/>
          <w:kern w:val="0"/>
          <w:sz w:val="24"/>
          <w:szCs w:val="24"/>
        </w:rPr>
      </w:pPr>
    </w:p>
    <w:p w14:paraId="50C85712">
      <w:pPr>
        <w:keepLines/>
        <w:widowControl/>
        <w:shd w:val="clear" w:color="auto" w:fill="FFFFFF"/>
        <w:jc w:val="center"/>
        <w:rPr>
          <w:rFonts w:ascii="Times New Roman" w:hAnsi="Times New Roman" w:eastAsia="微软雅黑" w:cs="Times New Roman"/>
          <w:color w:val="333333"/>
          <w:kern w:val="0"/>
          <w:sz w:val="24"/>
          <w:szCs w:val="24"/>
        </w:rPr>
      </w:pPr>
    </w:p>
    <w:p w14:paraId="01F142BB">
      <w:pPr>
        <w:keepLines/>
        <w:widowControl/>
        <w:shd w:val="clear" w:color="auto" w:fill="FFFFFF"/>
        <w:jc w:val="center"/>
        <w:rPr>
          <w:rFonts w:ascii="Times New Roman" w:hAnsi="宋体" w:eastAsia="宋体" w:cs="Times New Roman"/>
          <w:b/>
          <w:bCs/>
          <w:color w:val="333333"/>
          <w:kern w:val="0"/>
          <w:sz w:val="36"/>
          <w:szCs w:val="36"/>
        </w:rPr>
      </w:pPr>
    </w:p>
    <w:p w14:paraId="34406CF9">
      <w:pPr>
        <w:keepLines/>
        <w:widowControl/>
        <w:shd w:val="clear" w:color="auto" w:fill="FFFFFF"/>
        <w:jc w:val="center"/>
        <w:rPr>
          <w:rFonts w:ascii="Times New Roman" w:hAnsi="宋体" w:eastAsia="宋体" w:cs="Times New Roman"/>
          <w:b/>
          <w:bCs/>
          <w:color w:val="333333"/>
          <w:kern w:val="0"/>
          <w:sz w:val="36"/>
          <w:szCs w:val="36"/>
        </w:rPr>
      </w:pPr>
    </w:p>
    <w:p w14:paraId="40076855">
      <w:pPr>
        <w:keepLines/>
        <w:widowControl/>
        <w:shd w:val="clear" w:color="auto" w:fill="FFFFFF"/>
        <w:jc w:val="center"/>
        <w:rPr>
          <w:rFonts w:ascii="Times New Roman" w:hAnsi="宋体" w:eastAsia="宋体" w:cs="Times New Roman"/>
          <w:b/>
          <w:bCs/>
          <w:color w:val="333333"/>
          <w:kern w:val="0"/>
          <w:sz w:val="36"/>
          <w:szCs w:val="36"/>
        </w:rPr>
      </w:pPr>
    </w:p>
    <w:p w14:paraId="44BE15C6">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第二部分</w:t>
      </w:r>
      <w:r>
        <w:rPr>
          <w:rFonts w:ascii="Times New Roman" w:hAnsi="Times New Roman" w:eastAsia="宋体" w:cs="Times New Roman"/>
          <w:b/>
          <w:bCs/>
          <w:color w:val="333333"/>
          <w:kern w:val="0"/>
          <w:sz w:val="36"/>
          <w:szCs w:val="36"/>
        </w:rPr>
        <w:t xml:space="preserve"> </w:t>
      </w:r>
      <w:r>
        <w:rPr>
          <w:rFonts w:hint="eastAsia" w:ascii="Times New Roman" w:hAnsi="Times New Roman" w:eastAsia="宋体" w:cs="Times New Roman"/>
          <w:b/>
          <w:bCs/>
          <w:color w:val="333333"/>
          <w:kern w:val="0"/>
          <w:sz w:val="36"/>
          <w:szCs w:val="36"/>
          <w:lang w:val="en-US" w:eastAsia="zh-CN"/>
        </w:rPr>
        <w:t>中共</w:t>
      </w:r>
      <w:r>
        <w:rPr>
          <w:rFonts w:ascii="Times New Roman" w:hAnsi="宋体" w:eastAsia="宋体" w:cs="Times New Roman"/>
          <w:b/>
          <w:bCs/>
          <w:color w:val="333333"/>
          <w:kern w:val="0"/>
          <w:sz w:val="36"/>
          <w:szCs w:val="36"/>
        </w:rPr>
        <w:t>本溪市溪湖区</w:t>
      </w:r>
      <w:r>
        <w:rPr>
          <w:rFonts w:hint="eastAsia" w:ascii="Times New Roman" w:hAnsi="宋体" w:eastAsia="宋体" w:cs="Times New Roman"/>
          <w:b/>
          <w:bCs/>
          <w:color w:val="333333"/>
          <w:kern w:val="0"/>
          <w:sz w:val="36"/>
          <w:szCs w:val="36"/>
          <w:lang w:val="en-US" w:eastAsia="zh-CN"/>
        </w:rPr>
        <w:t>委组织部</w:t>
      </w:r>
      <w:r>
        <w:rPr>
          <w:rFonts w:ascii="Times New Roman" w:hAnsi="宋体" w:eastAsia="宋体" w:cs="Times New Roman"/>
          <w:b/>
          <w:bCs/>
          <w:color w:val="333333"/>
          <w:kern w:val="0"/>
          <w:sz w:val="36"/>
          <w:szCs w:val="36"/>
        </w:rPr>
        <w:t>概况</w:t>
      </w:r>
    </w:p>
    <w:p w14:paraId="4F378CBF">
      <w:pPr>
        <w:keepLines/>
        <w:widowControl/>
        <w:shd w:val="clear" w:color="auto" w:fill="FFFFFF"/>
        <w:ind w:firstLine="645"/>
        <w:jc w:val="left"/>
        <w:rPr>
          <w:rFonts w:ascii="Times New Roman" w:hAnsi="Times New Roman" w:eastAsia="微软雅黑" w:cs="Times New Roman"/>
          <w:color w:val="333333"/>
          <w:kern w:val="0"/>
          <w:sz w:val="24"/>
          <w:szCs w:val="24"/>
        </w:rPr>
      </w:pPr>
    </w:p>
    <w:p w14:paraId="7220748C">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一、部门职责</w:t>
      </w:r>
    </w:p>
    <w:p w14:paraId="0D87841B">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hint="eastAsia" w:ascii="Times New Roman" w:hAnsi="Times New Roman" w:eastAsia="仿宋_GB2312" w:cs="Times New Roman"/>
          <w:color w:val="auto"/>
          <w:sz w:val="32"/>
          <w:szCs w:val="32"/>
        </w:rPr>
        <w:t>负责全区干部队伍建设总体规划和宏观管理，提出区委管理的领导班子的调整、配备意见和建议，指导领导班子的思想政治建设，考察区委管理的干部，办理任免、工资、待遇、退(离)休审批手续，主管全区优秀年轻干部队伍建设工作，负责街道和区直机关备案干部审查和宏观管理</w:t>
      </w:r>
      <w:r>
        <w:rPr>
          <w:rFonts w:hint="eastAsia" w:ascii="Times New Roman" w:hAnsi="Times New Roman" w:eastAsia="仿宋_GB2312" w:cs="Times New Roman"/>
          <w:color w:val="auto"/>
          <w:sz w:val="32"/>
          <w:szCs w:val="32"/>
          <w:lang w:val="en-US" w:eastAsia="zh-CN"/>
        </w:rPr>
        <w:t>等</w:t>
      </w:r>
      <w:r>
        <w:rPr>
          <w:rFonts w:hint="eastAsia" w:ascii="Times New Roman" w:hAnsi="Times New Roman" w:eastAsia="仿宋_GB2312" w:cs="Times New Roman"/>
          <w:color w:val="auto"/>
          <w:sz w:val="32"/>
          <w:szCs w:val="32"/>
        </w:rPr>
        <w:t>工作。</w:t>
      </w:r>
      <w:r>
        <w:rPr>
          <w:rFonts w:ascii="Times New Roman" w:hAnsi="Times New Roman" w:eastAsia="仿宋_GB2312" w:cs="Times New Roman"/>
          <w:color w:val="333333"/>
          <w:kern w:val="0"/>
          <w:sz w:val="32"/>
          <w:szCs w:val="32"/>
        </w:rPr>
        <w:t xml:space="preserve"> </w:t>
      </w:r>
    </w:p>
    <w:p w14:paraId="67B508D5">
      <w:pPr>
        <w:keepLines/>
        <w:widowControl/>
        <w:shd w:val="clear" w:color="auto" w:fill="FFFFFF"/>
        <w:ind w:firstLine="645"/>
        <w:jc w:val="left"/>
        <w:rPr>
          <w:rFonts w:ascii="Times New Roman" w:hAnsi="Times New Roman" w:eastAsia="仿宋_GB2312" w:cs="Times New Roman"/>
          <w:color w:val="333333"/>
          <w:kern w:val="0"/>
          <w:sz w:val="32"/>
          <w:szCs w:val="32"/>
        </w:rPr>
      </w:pPr>
      <w:r>
        <w:rPr>
          <w:rFonts w:hint="eastAsia" w:ascii="Times New Roman" w:hAnsi="Times New Roman" w:eastAsia="仿宋_GB2312" w:cs="Times New Roman"/>
          <w:color w:val="333333"/>
          <w:kern w:val="0"/>
          <w:sz w:val="32"/>
          <w:szCs w:val="32"/>
        </w:rPr>
        <w:t>落实党的干部教育工作的方针、 政策，拟订全区于部教育规划，组织区委管理的干部和后备干部培训及党章党规基本知识、习近平新时代中国特色社会主义思想考核测试， 指导、协调、检查街道和区直各单位干部教育工作。</w:t>
      </w:r>
    </w:p>
    <w:p w14:paraId="2DC4839D">
      <w:pPr>
        <w:keepLines/>
        <w:widowControl/>
        <w:shd w:val="clear" w:color="auto" w:fill="FFFFFF"/>
        <w:ind w:firstLine="645"/>
        <w:jc w:val="left"/>
        <w:rPr>
          <w:rFonts w:ascii="Times New Roman" w:hAnsi="Times New Roman" w:eastAsia="仿宋_GB2312" w:cs="Times New Roman"/>
          <w:color w:val="333333"/>
          <w:kern w:val="0"/>
          <w:sz w:val="32"/>
          <w:szCs w:val="32"/>
        </w:rPr>
      </w:pPr>
      <w:r>
        <w:rPr>
          <w:rFonts w:hint="eastAsia" w:ascii="Times New Roman" w:hAnsi="Times New Roman" w:eastAsia="仿宋_GB2312" w:cs="Times New Roman"/>
          <w:color w:val="333333"/>
          <w:kern w:val="0"/>
          <w:sz w:val="32"/>
          <w:szCs w:val="32"/>
        </w:rPr>
        <w:t>负责贯彻落实中央、省、市人才工作方针政策及区委具体工作要求，负责全区人才队伍建设的宏观指导，协调落实全区人才队伍建设规划、政策法规和专项重点人才工，建立和管理高层次人才库，负责推荐市级优秀专家和落实有关待遇，承担区人才工作领导小组的日常工作。</w:t>
      </w:r>
    </w:p>
    <w:p w14:paraId="03E36E96">
      <w:pPr>
        <w:keepLines/>
        <w:widowControl/>
        <w:shd w:val="clear" w:color="auto" w:fill="FFFFFF"/>
        <w:ind w:firstLine="645"/>
        <w:jc w:val="left"/>
        <w:rPr>
          <w:rFonts w:hint="eastAsia" w:ascii="Times New Roman" w:hAnsi="Times New Roman" w:eastAsia="仿宋_GB2312" w:cs="Times New Roman"/>
          <w:color w:val="333333"/>
          <w:kern w:val="0"/>
          <w:sz w:val="32"/>
          <w:szCs w:val="32"/>
          <w:lang w:val="en-US" w:eastAsia="zh-CN"/>
        </w:rPr>
      </w:pPr>
      <w:r>
        <w:rPr>
          <w:rFonts w:hint="eastAsia" w:ascii="仿宋_GB2312" w:hAnsi="微软雅黑" w:eastAsia="仿宋_GB2312" w:cs="宋体"/>
          <w:kern w:val="0"/>
          <w:sz w:val="32"/>
          <w:szCs w:val="32"/>
        </w:rPr>
        <w:t xml:space="preserve"> </w:t>
      </w:r>
      <w:r>
        <w:rPr>
          <w:rFonts w:hint="eastAsia" w:ascii="Times New Roman" w:hAnsi="Times New Roman" w:eastAsia="仿宋_GB2312" w:cs="Times New Roman"/>
          <w:color w:val="333333"/>
          <w:kern w:val="0"/>
          <w:sz w:val="32"/>
          <w:szCs w:val="32"/>
          <w:lang w:val="en-US" w:eastAsia="zh-CN"/>
        </w:rPr>
        <w:t>负责组织系统信息化建设规划和指导，对全区干部信息管理、干部人事档案工作进行宏观管理，负责全区公务员管理信息化建设工作。</w:t>
      </w:r>
    </w:p>
    <w:p w14:paraId="4B9A89EC">
      <w:pPr>
        <w:keepLines/>
        <w:widowControl/>
        <w:shd w:val="clear" w:color="auto" w:fill="FFFFFF"/>
        <w:jc w:val="left"/>
        <w:rPr>
          <w:rFonts w:ascii="Times New Roman" w:hAnsi="Times New Roman" w:eastAsia="微软雅黑" w:cs="Times New Roman"/>
          <w:color w:val="333333"/>
          <w:kern w:val="0"/>
          <w:sz w:val="24"/>
          <w:szCs w:val="24"/>
        </w:rPr>
      </w:pPr>
    </w:p>
    <w:p w14:paraId="6022FF15">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二、机构设置</w:t>
      </w:r>
    </w:p>
    <w:p w14:paraId="6AF32927">
      <w:pPr>
        <w:keepLines/>
        <w:widowControl/>
        <w:shd w:val="clear" w:color="auto" w:fill="FFFFFF"/>
        <w:ind w:firstLine="645"/>
        <w:jc w:val="left"/>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纳入</w:t>
      </w:r>
      <w:r>
        <w:rPr>
          <w:rFonts w:hint="eastAsia" w:ascii="Times New Roman" w:hAnsi="Times New Roman" w:eastAsia="仿宋_GB2312" w:cs="Times New Roman"/>
          <w:color w:val="333333"/>
          <w:kern w:val="0"/>
          <w:sz w:val="32"/>
          <w:szCs w:val="32"/>
          <w:lang w:val="en-US" w:eastAsia="zh-CN"/>
        </w:rPr>
        <w:t>中共</w:t>
      </w:r>
      <w:r>
        <w:rPr>
          <w:rFonts w:ascii="Times New Roman" w:hAnsi="Times New Roman" w:eastAsia="仿宋_GB2312" w:cs="Times New Roman"/>
          <w:color w:val="333333"/>
          <w:kern w:val="0"/>
          <w:sz w:val="32"/>
          <w:szCs w:val="32"/>
        </w:rPr>
        <w:t>本溪市溪湖区</w:t>
      </w:r>
      <w:r>
        <w:rPr>
          <w:rFonts w:hint="eastAsia" w:ascii="Times New Roman" w:hAnsi="Times New Roman" w:eastAsia="仿宋_GB2312" w:cs="Times New Roman"/>
          <w:color w:val="333333"/>
          <w:kern w:val="0"/>
          <w:sz w:val="32"/>
          <w:szCs w:val="32"/>
          <w:lang w:val="en-US" w:eastAsia="zh-CN"/>
        </w:rPr>
        <w:t>委组织部</w:t>
      </w:r>
      <w:r>
        <w:rPr>
          <w:rFonts w:ascii="Times New Roman" w:hAnsi="Times New Roman" w:eastAsia="仿宋_GB2312" w:cs="Times New Roman"/>
          <w:color w:val="333333"/>
          <w:kern w:val="0"/>
          <w:sz w:val="32"/>
          <w:szCs w:val="32"/>
        </w:rPr>
        <w:t>2024年部门预算编制范围的二级预算单位包括：</w:t>
      </w:r>
    </w:p>
    <w:p w14:paraId="40279A50">
      <w:pPr>
        <w:keepLines/>
        <w:widowControl/>
        <w:shd w:val="clear" w:color="auto" w:fill="FFFFFF"/>
        <w:ind w:firstLine="645"/>
        <w:jc w:val="left"/>
        <w:rPr>
          <w:rFonts w:hint="default" w:ascii="Times New Roman" w:hAnsi="Times New Roman" w:eastAsia="仿宋_GB2312" w:cs="Times New Roman"/>
          <w:color w:val="333333"/>
          <w:kern w:val="0"/>
          <w:sz w:val="32"/>
          <w:szCs w:val="32"/>
          <w:lang w:val="en-US"/>
        </w:rPr>
      </w:pPr>
      <w:r>
        <w:rPr>
          <w:rFonts w:ascii="Times New Roman" w:hAnsi="Times New Roman" w:eastAsia="仿宋_GB2312" w:cs="Times New Roman"/>
          <w:color w:val="333333"/>
          <w:kern w:val="0"/>
          <w:sz w:val="32"/>
          <w:szCs w:val="32"/>
        </w:rPr>
        <w:t>（一）</w:t>
      </w:r>
      <w:r>
        <w:rPr>
          <w:rFonts w:hint="eastAsia" w:ascii="Times New Roman" w:hAnsi="Times New Roman" w:eastAsia="仿宋_GB2312" w:cs="Times New Roman"/>
          <w:color w:val="333333"/>
          <w:kern w:val="0"/>
          <w:sz w:val="32"/>
          <w:szCs w:val="32"/>
          <w:lang w:val="en-US" w:eastAsia="zh-CN"/>
        </w:rPr>
        <w:t>中共</w:t>
      </w:r>
      <w:r>
        <w:rPr>
          <w:rFonts w:ascii="Times New Roman" w:hAnsi="Times New Roman" w:eastAsia="仿宋_GB2312" w:cs="Times New Roman"/>
          <w:color w:val="333333"/>
          <w:kern w:val="0"/>
          <w:sz w:val="32"/>
          <w:szCs w:val="32"/>
        </w:rPr>
        <w:t>本溪市溪湖区</w:t>
      </w:r>
      <w:r>
        <w:rPr>
          <w:rFonts w:hint="eastAsia" w:ascii="Times New Roman" w:hAnsi="Times New Roman" w:eastAsia="仿宋_GB2312" w:cs="Times New Roman"/>
          <w:color w:val="333333"/>
          <w:kern w:val="0"/>
          <w:sz w:val="32"/>
          <w:szCs w:val="32"/>
          <w:lang w:val="en-US" w:eastAsia="zh-CN"/>
        </w:rPr>
        <w:t>委组织部本级</w:t>
      </w:r>
    </w:p>
    <w:p w14:paraId="2CF7EC13">
      <w:pPr>
        <w:keepLines/>
        <w:widowControl/>
        <w:shd w:val="clear" w:color="auto" w:fill="FFFFFF"/>
        <w:ind w:firstLine="645"/>
        <w:jc w:val="left"/>
        <w:rPr>
          <w:rFonts w:hint="default" w:ascii="Times New Roman" w:hAnsi="Times New Roman" w:eastAsia="仿宋_GB2312" w:cs="Times New Roman"/>
          <w:color w:val="333333"/>
          <w:kern w:val="0"/>
          <w:sz w:val="32"/>
          <w:szCs w:val="32"/>
          <w:lang w:val="en-US" w:eastAsia="zh-CN"/>
        </w:rPr>
      </w:pPr>
      <w:r>
        <w:rPr>
          <w:rFonts w:ascii="Times New Roman" w:hAnsi="Times New Roman" w:eastAsia="仿宋_GB2312" w:cs="Times New Roman"/>
          <w:color w:val="333333"/>
          <w:kern w:val="0"/>
          <w:sz w:val="32"/>
          <w:szCs w:val="32"/>
        </w:rPr>
        <w:t>（二）</w:t>
      </w:r>
      <w:r>
        <w:rPr>
          <w:rFonts w:hint="eastAsia" w:ascii="Times New Roman" w:hAnsi="Times New Roman" w:eastAsia="仿宋_GB2312" w:cs="Times New Roman"/>
          <w:color w:val="333333"/>
          <w:kern w:val="0"/>
          <w:sz w:val="32"/>
          <w:szCs w:val="32"/>
          <w:lang w:val="en-US" w:eastAsia="zh-CN"/>
        </w:rPr>
        <w:t>本溪市党建服务中心</w:t>
      </w:r>
    </w:p>
    <w:p w14:paraId="72B9EC1A">
      <w:pPr>
        <w:keepLines/>
        <w:widowControl/>
        <w:shd w:val="clear" w:color="auto" w:fill="FFFFFF"/>
        <w:ind w:firstLine="645"/>
        <w:jc w:val="left"/>
        <w:rPr>
          <w:rFonts w:hint="eastAsia" w:ascii="Times New Roman" w:hAnsi="Times New Roman" w:eastAsia="仿宋_GB2312" w:cs="Times New Roman"/>
          <w:color w:val="333333"/>
          <w:kern w:val="0"/>
          <w:sz w:val="32"/>
          <w:szCs w:val="32"/>
          <w:lang w:val="en-US" w:eastAsia="zh-CN"/>
        </w:rPr>
      </w:pPr>
      <w:r>
        <w:rPr>
          <w:rFonts w:ascii="Times New Roman" w:hAnsi="Times New Roman" w:eastAsia="仿宋_GB2312" w:cs="Times New Roman"/>
          <w:color w:val="333333"/>
          <w:kern w:val="0"/>
          <w:sz w:val="32"/>
          <w:szCs w:val="32"/>
        </w:rPr>
        <w:t>（三）</w:t>
      </w:r>
      <w:r>
        <w:rPr>
          <w:rFonts w:hint="eastAsia" w:ascii="Times New Roman" w:hAnsi="Times New Roman" w:eastAsia="仿宋_GB2312" w:cs="Times New Roman"/>
          <w:color w:val="333333"/>
          <w:kern w:val="0"/>
          <w:sz w:val="32"/>
          <w:szCs w:val="32"/>
          <w:lang w:val="en-US" w:eastAsia="zh-CN"/>
        </w:rPr>
        <w:t>本溪市人才服务中心</w:t>
      </w:r>
    </w:p>
    <w:p w14:paraId="385E2FC2">
      <w:pPr>
        <w:keepLines/>
        <w:widowControl/>
        <w:shd w:val="clear" w:color="auto" w:fill="FFFFFF"/>
        <w:ind w:firstLine="645"/>
        <w:jc w:val="left"/>
        <w:rPr>
          <w:rFonts w:hint="default" w:ascii="Times New Roman" w:hAnsi="Times New Roman" w:eastAsia="仿宋_GB2312" w:cs="Times New Roman"/>
          <w:color w:val="333333"/>
          <w:kern w:val="0"/>
          <w:sz w:val="32"/>
          <w:szCs w:val="32"/>
          <w:lang w:val="en-US" w:eastAsia="zh-CN"/>
        </w:rPr>
      </w:pPr>
      <w:r>
        <w:rPr>
          <w:rFonts w:hint="eastAsia" w:ascii="Times New Roman" w:hAnsi="Times New Roman" w:eastAsia="仿宋_GB2312" w:cs="Times New Roman"/>
          <w:color w:val="333333"/>
          <w:kern w:val="0"/>
          <w:sz w:val="32"/>
          <w:szCs w:val="32"/>
          <w:lang w:val="en-US" w:eastAsia="zh-CN"/>
        </w:rPr>
        <w:t>（四）本溪市干部档案管理中心</w:t>
      </w:r>
    </w:p>
    <w:p w14:paraId="1A1416CB">
      <w:pPr>
        <w:keepLines/>
        <w:widowControl/>
        <w:shd w:val="clear" w:color="auto" w:fill="FFFFFF"/>
        <w:jc w:val="center"/>
        <w:rPr>
          <w:rFonts w:ascii="Times New Roman" w:hAnsi="Times New Roman" w:eastAsia="微软雅黑" w:cs="Times New Roman"/>
          <w:color w:val="333333"/>
          <w:kern w:val="0"/>
          <w:sz w:val="24"/>
          <w:szCs w:val="24"/>
        </w:rPr>
      </w:pPr>
    </w:p>
    <w:p w14:paraId="0BD66045">
      <w:pPr>
        <w:keepLines/>
        <w:widowControl/>
        <w:shd w:val="clear" w:color="auto" w:fill="FFFFFF"/>
        <w:jc w:val="center"/>
        <w:rPr>
          <w:rFonts w:ascii="Times New Roman" w:hAnsi="Times New Roman" w:eastAsia="微软雅黑" w:cs="Times New Roman"/>
          <w:color w:val="333333"/>
          <w:kern w:val="0"/>
          <w:sz w:val="24"/>
          <w:szCs w:val="24"/>
        </w:rPr>
      </w:pPr>
    </w:p>
    <w:p w14:paraId="37734574">
      <w:pPr>
        <w:keepLines/>
        <w:widowControl/>
        <w:shd w:val="clear" w:color="auto" w:fill="FFFFFF"/>
        <w:jc w:val="center"/>
        <w:rPr>
          <w:rFonts w:ascii="Times New Roman" w:hAnsi="Times New Roman" w:eastAsia="微软雅黑" w:cs="Times New Roman"/>
          <w:color w:val="333333"/>
          <w:kern w:val="0"/>
          <w:sz w:val="24"/>
          <w:szCs w:val="24"/>
        </w:rPr>
      </w:pPr>
    </w:p>
    <w:p w14:paraId="521EF158">
      <w:pPr>
        <w:keepLines/>
        <w:widowControl/>
        <w:shd w:val="clear" w:color="auto" w:fill="FFFFFF"/>
        <w:jc w:val="center"/>
        <w:rPr>
          <w:rFonts w:ascii="Times New Roman" w:hAnsi="Times New Roman" w:eastAsia="微软雅黑" w:cs="Times New Roman"/>
          <w:color w:val="333333"/>
          <w:kern w:val="0"/>
          <w:sz w:val="24"/>
          <w:szCs w:val="24"/>
        </w:rPr>
      </w:pPr>
    </w:p>
    <w:p w14:paraId="4720CDCE">
      <w:pPr>
        <w:keepLines/>
        <w:widowControl/>
        <w:shd w:val="clear" w:color="auto" w:fill="FFFFFF"/>
        <w:jc w:val="center"/>
        <w:rPr>
          <w:rFonts w:ascii="Times New Roman" w:hAnsi="Times New Roman" w:eastAsia="微软雅黑" w:cs="Times New Roman"/>
          <w:color w:val="333333"/>
          <w:kern w:val="0"/>
          <w:sz w:val="24"/>
          <w:szCs w:val="24"/>
        </w:rPr>
      </w:pPr>
    </w:p>
    <w:p w14:paraId="6D5DDCC0">
      <w:pPr>
        <w:keepLines/>
        <w:widowControl/>
        <w:shd w:val="clear" w:color="auto" w:fill="FFFFFF"/>
        <w:jc w:val="center"/>
        <w:rPr>
          <w:rFonts w:ascii="Times New Roman" w:hAnsi="Times New Roman" w:eastAsia="微软雅黑" w:cs="Times New Roman"/>
          <w:color w:val="333333"/>
          <w:kern w:val="0"/>
          <w:sz w:val="24"/>
          <w:szCs w:val="24"/>
        </w:rPr>
      </w:pPr>
    </w:p>
    <w:p w14:paraId="1A2096B5">
      <w:pPr>
        <w:keepLines/>
        <w:widowControl/>
        <w:shd w:val="clear" w:color="auto" w:fill="FFFFFF"/>
        <w:jc w:val="center"/>
        <w:rPr>
          <w:rFonts w:ascii="Times New Roman" w:hAnsi="Times New Roman" w:eastAsia="微软雅黑" w:cs="Times New Roman"/>
          <w:color w:val="333333"/>
          <w:kern w:val="0"/>
          <w:sz w:val="24"/>
          <w:szCs w:val="24"/>
        </w:rPr>
      </w:pPr>
    </w:p>
    <w:p w14:paraId="391CF628">
      <w:pPr>
        <w:keepLines/>
        <w:widowControl/>
        <w:shd w:val="clear" w:color="auto" w:fill="FFFFFF"/>
        <w:jc w:val="center"/>
        <w:rPr>
          <w:rFonts w:ascii="Times New Roman" w:hAnsi="Times New Roman" w:eastAsia="微软雅黑" w:cs="Times New Roman"/>
          <w:color w:val="333333"/>
          <w:kern w:val="0"/>
          <w:sz w:val="24"/>
          <w:szCs w:val="24"/>
        </w:rPr>
      </w:pPr>
    </w:p>
    <w:p w14:paraId="676428E4">
      <w:pPr>
        <w:keepLines/>
        <w:widowControl/>
        <w:shd w:val="clear" w:color="auto" w:fill="FFFFFF"/>
        <w:jc w:val="center"/>
        <w:rPr>
          <w:rFonts w:ascii="Times New Roman" w:hAnsi="Times New Roman" w:eastAsia="微软雅黑" w:cs="Times New Roman"/>
          <w:color w:val="333333"/>
          <w:kern w:val="0"/>
          <w:sz w:val="24"/>
          <w:szCs w:val="24"/>
        </w:rPr>
      </w:pPr>
    </w:p>
    <w:p w14:paraId="347741DE">
      <w:pPr>
        <w:keepLines/>
        <w:widowControl/>
        <w:shd w:val="clear" w:color="auto" w:fill="FFFFFF"/>
        <w:jc w:val="center"/>
        <w:rPr>
          <w:rFonts w:ascii="Times New Roman" w:hAnsi="Times New Roman" w:eastAsia="微软雅黑" w:cs="Times New Roman"/>
          <w:color w:val="333333"/>
          <w:kern w:val="0"/>
          <w:sz w:val="24"/>
          <w:szCs w:val="24"/>
        </w:rPr>
      </w:pPr>
    </w:p>
    <w:p w14:paraId="1517B159">
      <w:pPr>
        <w:keepLines/>
        <w:widowControl/>
        <w:shd w:val="clear" w:color="auto" w:fill="FFFFFF"/>
        <w:jc w:val="center"/>
        <w:rPr>
          <w:rFonts w:ascii="Times New Roman" w:hAnsi="Times New Roman" w:eastAsia="微软雅黑" w:cs="Times New Roman"/>
          <w:color w:val="333333"/>
          <w:kern w:val="0"/>
          <w:sz w:val="24"/>
          <w:szCs w:val="24"/>
        </w:rPr>
      </w:pPr>
    </w:p>
    <w:p w14:paraId="388CF5BD">
      <w:pPr>
        <w:keepLines/>
        <w:widowControl/>
        <w:shd w:val="clear" w:color="auto" w:fill="FFFFFF"/>
        <w:jc w:val="center"/>
        <w:rPr>
          <w:rFonts w:ascii="Times New Roman" w:hAnsi="Times New Roman" w:eastAsia="微软雅黑" w:cs="Times New Roman"/>
          <w:color w:val="333333"/>
          <w:kern w:val="0"/>
          <w:sz w:val="24"/>
          <w:szCs w:val="24"/>
        </w:rPr>
      </w:pPr>
    </w:p>
    <w:p w14:paraId="2B9D2EC2">
      <w:pPr>
        <w:keepLines/>
        <w:widowControl/>
        <w:shd w:val="clear" w:color="auto" w:fill="FFFFFF"/>
        <w:jc w:val="center"/>
        <w:rPr>
          <w:rFonts w:ascii="Times New Roman" w:hAnsi="Times New Roman" w:eastAsia="微软雅黑" w:cs="Times New Roman"/>
          <w:color w:val="333333"/>
          <w:kern w:val="0"/>
          <w:sz w:val="24"/>
          <w:szCs w:val="24"/>
        </w:rPr>
      </w:pPr>
    </w:p>
    <w:p w14:paraId="48065B9A">
      <w:pPr>
        <w:keepLines/>
        <w:widowControl/>
        <w:shd w:val="clear" w:color="auto" w:fill="FFFFFF"/>
        <w:jc w:val="center"/>
        <w:rPr>
          <w:rFonts w:ascii="Times New Roman" w:hAnsi="Times New Roman" w:eastAsia="微软雅黑" w:cs="Times New Roman"/>
          <w:color w:val="333333"/>
          <w:kern w:val="0"/>
          <w:sz w:val="24"/>
          <w:szCs w:val="24"/>
        </w:rPr>
      </w:pPr>
    </w:p>
    <w:p w14:paraId="167E8BF6">
      <w:pPr>
        <w:keepLines/>
        <w:widowControl/>
        <w:shd w:val="clear" w:color="auto" w:fill="FFFFFF"/>
        <w:jc w:val="center"/>
        <w:rPr>
          <w:rFonts w:ascii="Times New Roman" w:hAnsi="Times New Roman" w:eastAsia="微软雅黑" w:cs="Times New Roman"/>
          <w:color w:val="333333"/>
          <w:kern w:val="0"/>
          <w:sz w:val="24"/>
          <w:szCs w:val="24"/>
        </w:rPr>
      </w:pPr>
    </w:p>
    <w:p w14:paraId="7159FA0A">
      <w:pPr>
        <w:keepLines/>
        <w:widowControl/>
        <w:shd w:val="clear" w:color="auto" w:fill="FFFFFF"/>
        <w:jc w:val="center"/>
        <w:rPr>
          <w:rFonts w:ascii="Times New Roman" w:hAnsi="Times New Roman" w:eastAsia="微软雅黑" w:cs="Times New Roman"/>
          <w:color w:val="333333"/>
          <w:kern w:val="0"/>
          <w:sz w:val="24"/>
          <w:szCs w:val="24"/>
        </w:rPr>
      </w:pPr>
    </w:p>
    <w:p w14:paraId="7F8C173A">
      <w:pPr>
        <w:keepLines/>
        <w:widowControl/>
        <w:shd w:val="clear" w:color="auto" w:fill="FFFFFF"/>
        <w:jc w:val="center"/>
        <w:rPr>
          <w:rFonts w:ascii="Times New Roman" w:hAnsi="Times New Roman" w:eastAsia="微软雅黑" w:cs="Times New Roman"/>
          <w:color w:val="333333"/>
          <w:kern w:val="0"/>
          <w:sz w:val="24"/>
          <w:szCs w:val="24"/>
        </w:rPr>
      </w:pPr>
    </w:p>
    <w:p w14:paraId="3ACDCAE1">
      <w:pPr>
        <w:keepLines/>
        <w:widowControl/>
        <w:shd w:val="clear" w:color="auto" w:fill="FFFFFF"/>
        <w:jc w:val="center"/>
        <w:rPr>
          <w:rFonts w:ascii="Times New Roman" w:hAnsi="Times New Roman" w:eastAsia="微软雅黑" w:cs="Times New Roman"/>
          <w:color w:val="333333"/>
          <w:kern w:val="0"/>
          <w:sz w:val="24"/>
          <w:szCs w:val="24"/>
        </w:rPr>
      </w:pPr>
    </w:p>
    <w:p w14:paraId="241B10F3">
      <w:pPr>
        <w:keepLines/>
        <w:widowControl/>
        <w:shd w:val="clear" w:color="auto" w:fill="FFFFFF"/>
        <w:jc w:val="center"/>
        <w:rPr>
          <w:rFonts w:ascii="Times New Roman" w:hAnsi="Times New Roman" w:eastAsia="微软雅黑" w:cs="Times New Roman"/>
          <w:color w:val="333333"/>
          <w:kern w:val="0"/>
          <w:sz w:val="24"/>
          <w:szCs w:val="24"/>
        </w:rPr>
      </w:pPr>
    </w:p>
    <w:p w14:paraId="4F8C47B5">
      <w:pPr>
        <w:keepLines/>
        <w:widowControl/>
        <w:shd w:val="clear" w:color="auto" w:fill="FFFFFF"/>
        <w:jc w:val="center"/>
        <w:rPr>
          <w:rFonts w:ascii="Times New Roman" w:hAnsi="Times New Roman" w:eastAsia="微软雅黑" w:cs="Times New Roman"/>
          <w:color w:val="333333"/>
          <w:kern w:val="0"/>
          <w:sz w:val="24"/>
          <w:szCs w:val="24"/>
        </w:rPr>
      </w:pPr>
    </w:p>
    <w:p w14:paraId="58AC2536">
      <w:pPr>
        <w:keepLines/>
        <w:widowControl/>
        <w:shd w:val="clear" w:color="auto" w:fill="FFFFFF"/>
        <w:jc w:val="center"/>
        <w:rPr>
          <w:rFonts w:ascii="Times New Roman" w:hAnsi="Times New Roman" w:eastAsia="微软雅黑" w:cs="Times New Roman"/>
          <w:color w:val="333333"/>
          <w:kern w:val="0"/>
          <w:sz w:val="24"/>
          <w:szCs w:val="24"/>
        </w:rPr>
      </w:pPr>
    </w:p>
    <w:p w14:paraId="4E3EE813">
      <w:pPr>
        <w:keepLines/>
        <w:widowControl/>
        <w:shd w:val="clear" w:color="auto" w:fill="FFFFFF"/>
        <w:jc w:val="center"/>
        <w:rPr>
          <w:rFonts w:ascii="Times New Roman" w:hAnsi="Times New Roman" w:eastAsia="微软雅黑" w:cs="Times New Roman"/>
          <w:color w:val="333333"/>
          <w:kern w:val="0"/>
          <w:sz w:val="24"/>
          <w:szCs w:val="24"/>
        </w:rPr>
      </w:pPr>
    </w:p>
    <w:p w14:paraId="146370C1">
      <w:pPr>
        <w:keepLines/>
        <w:widowControl/>
        <w:shd w:val="clear" w:color="auto" w:fill="FFFFFF"/>
        <w:jc w:val="center"/>
        <w:rPr>
          <w:rFonts w:ascii="Times New Roman" w:hAnsi="Times New Roman" w:eastAsia="微软雅黑" w:cs="Times New Roman"/>
          <w:color w:val="333333"/>
          <w:kern w:val="0"/>
          <w:sz w:val="24"/>
          <w:szCs w:val="24"/>
        </w:rPr>
      </w:pPr>
    </w:p>
    <w:p w14:paraId="0788D580">
      <w:pPr>
        <w:keepLines/>
        <w:widowControl/>
        <w:shd w:val="clear" w:color="auto" w:fill="FFFFFF"/>
        <w:jc w:val="center"/>
        <w:rPr>
          <w:rFonts w:ascii="Times New Roman" w:hAnsi="Times New Roman" w:eastAsia="微软雅黑" w:cs="Times New Roman"/>
          <w:color w:val="333333"/>
          <w:kern w:val="0"/>
          <w:sz w:val="24"/>
          <w:szCs w:val="24"/>
        </w:rPr>
      </w:pPr>
    </w:p>
    <w:p w14:paraId="22FEFE73">
      <w:pPr>
        <w:keepLines/>
        <w:widowControl/>
        <w:shd w:val="clear" w:color="auto" w:fill="FFFFFF"/>
        <w:jc w:val="center"/>
        <w:rPr>
          <w:rFonts w:ascii="Times New Roman" w:hAnsi="Times New Roman" w:eastAsia="微软雅黑" w:cs="Times New Roman"/>
          <w:color w:val="333333"/>
          <w:kern w:val="0"/>
          <w:sz w:val="24"/>
          <w:szCs w:val="24"/>
        </w:rPr>
      </w:pPr>
    </w:p>
    <w:p w14:paraId="569AC019">
      <w:pPr>
        <w:keepLines/>
        <w:widowControl/>
        <w:shd w:val="clear" w:color="auto" w:fill="FFFFFF"/>
        <w:jc w:val="center"/>
        <w:rPr>
          <w:rFonts w:ascii="Times New Roman" w:hAnsi="Times New Roman" w:eastAsia="微软雅黑" w:cs="Times New Roman"/>
          <w:color w:val="333333"/>
          <w:kern w:val="0"/>
          <w:sz w:val="24"/>
          <w:szCs w:val="24"/>
        </w:rPr>
      </w:pPr>
    </w:p>
    <w:p w14:paraId="210560F4">
      <w:pPr>
        <w:keepLines/>
        <w:widowControl/>
        <w:shd w:val="clear" w:color="auto" w:fill="FFFFFF"/>
        <w:jc w:val="center"/>
        <w:rPr>
          <w:rFonts w:ascii="Times New Roman" w:hAnsi="Times New Roman" w:eastAsia="微软雅黑" w:cs="Times New Roman"/>
          <w:color w:val="333333"/>
          <w:kern w:val="0"/>
          <w:sz w:val="24"/>
          <w:szCs w:val="24"/>
        </w:rPr>
      </w:pPr>
    </w:p>
    <w:p w14:paraId="5C0C7CBB">
      <w:pPr>
        <w:keepLines/>
        <w:widowControl/>
        <w:shd w:val="clear" w:color="auto" w:fill="FFFFFF"/>
        <w:jc w:val="both"/>
        <w:rPr>
          <w:rFonts w:ascii="Times New Roman" w:hAnsi="宋体" w:eastAsia="宋体" w:cs="Times New Roman"/>
          <w:b/>
          <w:bCs/>
          <w:color w:val="333333"/>
          <w:kern w:val="0"/>
          <w:sz w:val="36"/>
          <w:szCs w:val="36"/>
        </w:rPr>
      </w:pPr>
    </w:p>
    <w:p w14:paraId="322E45CD">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第三部分</w:t>
      </w:r>
      <w:r>
        <w:rPr>
          <w:rFonts w:hint="eastAsia" w:ascii="Times New Roman" w:hAnsi="宋体" w:eastAsia="宋体" w:cs="Times New Roman"/>
          <w:b/>
          <w:bCs/>
          <w:color w:val="333333"/>
          <w:kern w:val="0"/>
          <w:sz w:val="36"/>
          <w:szCs w:val="36"/>
          <w:lang w:val="en-US" w:eastAsia="zh-CN"/>
        </w:rPr>
        <w:t>中共</w:t>
      </w:r>
      <w:r>
        <w:rPr>
          <w:rFonts w:ascii="Times New Roman" w:hAnsi="宋体" w:eastAsia="宋体" w:cs="Times New Roman"/>
          <w:b/>
          <w:bCs/>
          <w:color w:val="333333"/>
          <w:kern w:val="0"/>
          <w:sz w:val="36"/>
          <w:szCs w:val="36"/>
        </w:rPr>
        <w:t>本溪市溪湖区</w:t>
      </w:r>
      <w:r>
        <w:rPr>
          <w:rFonts w:hint="eastAsia" w:ascii="Times New Roman" w:hAnsi="宋体" w:eastAsia="宋体" w:cs="Times New Roman"/>
          <w:b/>
          <w:bCs/>
          <w:color w:val="333333"/>
          <w:kern w:val="0"/>
          <w:sz w:val="36"/>
          <w:szCs w:val="36"/>
          <w:lang w:val="en-US" w:eastAsia="zh-CN"/>
        </w:rPr>
        <w:t>委组织部</w:t>
      </w:r>
      <w:r>
        <w:rPr>
          <w:rFonts w:ascii="Times New Roman" w:hAnsi="Times New Roman" w:eastAsia="宋体" w:cs="Times New Roman"/>
          <w:b/>
          <w:bCs/>
          <w:color w:val="333333"/>
          <w:kern w:val="0"/>
          <w:sz w:val="36"/>
          <w:szCs w:val="36"/>
        </w:rPr>
        <w:t>2024</w:t>
      </w:r>
      <w:r>
        <w:rPr>
          <w:rFonts w:ascii="Times New Roman" w:hAnsi="宋体" w:eastAsia="宋体" w:cs="Times New Roman"/>
          <w:b/>
          <w:bCs/>
          <w:color w:val="333333"/>
          <w:kern w:val="0"/>
          <w:sz w:val="36"/>
          <w:szCs w:val="36"/>
        </w:rPr>
        <w:t>年部门预算情况说明</w:t>
      </w:r>
    </w:p>
    <w:p w14:paraId="31A9D2A1">
      <w:pPr>
        <w:keepLines/>
        <w:widowControl/>
        <w:shd w:val="clear" w:color="auto" w:fill="FFFFFF"/>
        <w:jc w:val="left"/>
        <w:rPr>
          <w:rFonts w:ascii="Times New Roman" w:hAnsi="Times New Roman" w:eastAsia="微软雅黑" w:cs="Times New Roman"/>
          <w:color w:val="333333"/>
          <w:kern w:val="0"/>
          <w:sz w:val="24"/>
          <w:szCs w:val="24"/>
        </w:rPr>
      </w:pPr>
    </w:p>
    <w:p w14:paraId="15E46EE7">
      <w:pPr>
        <w:keepLines/>
        <w:widowControl/>
        <w:shd w:val="clear" w:color="auto" w:fill="FFFFFF"/>
        <w:ind w:firstLine="63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一、收支预算的总体情况</w:t>
      </w:r>
    </w:p>
    <w:p w14:paraId="1F9ECA7D">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按照综合预算的原则，</w:t>
      </w:r>
      <w:r>
        <w:rPr>
          <w:rFonts w:hint="eastAsia" w:ascii="Times New Roman" w:hAnsi="Times New Roman" w:eastAsia="仿宋_GB2312" w:cs="Times New Roman"/>
          <w:color w:val="333333"/>
          <w:kern w:val="0"/>
          <w:sz w:val="32"/>
          <w:szCs w:val="32"/>
          <w:lang w:val="en-US" w:eastAsia="zh-CN"/>
        </w:rPr>
        <w:t>中共</w:t>
      </w:r>
      <w:r>
        <w:rPr>
          <w:rFonts w:ascii="Times New Roman" w:hAnsi="Times New Roman" w:eastAsia="仿宋_GB2312" w:cs="Times New Roman"/>
          <w:color w:val="333333"/>
          <w:kern w:val="0"/>
          <w:sz w:val="32"/>
          <w:szCs w:val="32"/>
        </w:rPr>
        <w:t>本溪市溪湖区</w:t>
      </w:r>
      <w:r>
        <w:rPr>
          <w:rFonts w:hint="eastAsia" w:ascii="Times New Roman" w:hAnsi="Times New Roman" w:eastAsia="仿宋_GB2312" w:cs="Times New Roman"/>
          <w:color w:val="333333"/>
          <w:kern w:val="0"/>
          <w:sz w:val="32"/>
          <w:szCs w:val="32"/>
          <w:lang w:val="en-US" w:eastAsia="zh-CN"/>
        </w:rPr>
        <w:t>委组织部</w:t>
      </w:r>
      <w:r>
        <w:rPr>
          <w:rFonts w:ascii="Times New Roman" w:hAnsi="Times New Roman" w:eastAsia="仿宋_GB2312" w:cs="Times New Roman"/>
          <w:color w:val="333333"/>
          <w:kern w:val="0"/>
          <w:sz w:val="32"/>
          <w:szCs w:val="32"/>
        </w:rPr>
        <w:t>所有收入和支出均纳入部门预算管理。其中：</w:t>
      </w:r>
    </w:p>
    <w:p w14:paraId="0DF45F73">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32"/>
          <w:szCs w:val="32"/>
        </w:rPr>
        <w:t>（一）收入预算</w:t>
      </w:r>
      <w:r>
        <w:rPr>
          <w:rFonts w:hint="eastAsia" w:ascii="Times New Roman" w:hAnsi="Times New Roman" w:eastAsia="仿宋_GB2312" w:cs="Times New Roman"/>
          <w:b/>
          <w:bCs/>
          <w:color w:val="333333"/>
          <w:kern w:val="0"/>
          <w:sz w:val="32"/>
          <w:szCs w:val="32"/>
          <w:lang w:val="en-US" w:eastAsia="zh-CN"/>
        </w:rPr>
        <w:t>959.60</w:t>
      </w:r>
      <w:r>
        <w:rPr>
          <w:rFonts w:ascii="Times New Roman" w:hAnsi="Times New Roman" w:eastAsia="仿宋_GB2312" w:cs="Times New Roman"/>
          <w:b/>
          <w:bCs/>
          <w:color w:val="333333"/>
          <w:kern w:val="0"/>
          <w:sz w:val="32"/>
          <w:szCs w:val="32"/>
        </w:rPr>
        <w:t>万元，</w:t>
      </w:r>
      <w:r>
        <w:rPr>
          <w:rFonts w:ascii="Times New Roman" w:hAnsi="Times New Roman" w:eastAsia="仿宋_GB2312" w:cs="Times New Roman"/>
          <w:color w:val="333333"/>
          <w:kern w:val="0"/>
          <w:sz w:val="32"/>
          <w:szCs w:val="32"/>
        </w:rPr>
        <w:t>包括：</w:t>
      </w:r>
    </w:p>
    <w:p w14:paraId="531DDB84">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1.</w:t>
      </w:r>
      <w:r>
        <w:rPr>
          <w:rFonts w:ascii="Times New Roman" w:hAnsi="Times New Roman" w:cs="Times New Roman"/>
        </w:rPr>
        <w:t xml:space="preserve"> </w:t>
      </w:r>
      <w:r>
        <w:rPr>
          <w:rFonts w:ascii="Times New Roman" w:hAnsi="Times New Roman" w:eastAsia="仿宋_GB2312" w:cs="Times New Roman"/>
          <w:color w:val="333333"/>
          <w:kern w:val="0"/>
          <w:sz w:val="32"/>
          <w:szCs w:val="32"/>
        </w:rPr>
        <w:t>一般公共预算拨款收入</w:t>
      </w:r>
      <w:r>
        <w:rPr>
          <w:rFonts w:hint="eastAsia" w:ascii="Times New Roman" w:hAnsi="Times New Roman" w:eastAsia="仿宋_GB2312" w:cs="Times New Roman"/>
          <w:color w:val="333333"/>
          <w:kern w:val="0"/>
          <w:sz w:val="32"/>
          <w:szCs w:val="32"/>
          <w:lang w:val="en-US" w:eastAsia="zh-CN"/>
        </w:rPr>
        <w:t>959.60</w:t>
      </w:r>
      <w:r>
        <w:rPr>
          <w:rFonts w:ascii="Times New Roman" w:hAnsi="Times New Roman" w:eastAsia="仿宋_GB2312" w:cs="Times New Roman"/>
          <w:color w:val="333333"/>
          <w:kern w:val="0"/>
          <w:sz w:val="32"/>
          <w:szCs w:val="32"/>
        </w:rPr>
        <w:t>万元；</w:t>
      </w:r>
    </w:p>
    <w:p w14:paraId="5A0CDCC1">
      <w:pPr>
        <w:keepLines/>
        <w:widowControl/>
        <w:shd w:val="clear" w:color="auto" w:fill="FFFFFF"/>
        <w:ind w:firstLine="660"/>
        <w:jc w:val="left"/>
        <w:rPr>
          <w:rFonts w:ascii="Times New Roman" w:hAnsi="Times New Roman" w:eastAsia="微软雅黑" w:cs="Times New Roman"/>
          <w:color w:val="auto"/>
          <w:kern w:val="0"/>
          <w:sz w:val="24"/>
          <w:szCs w:val="24"/>
          <w:highlight w:val="none"/>
        </w:rPr>
      </w:pPr>
      <w:r>
        <w:rPr>
          <w:rFonts w:ascii="Times New Roman" w:hAnsi="Times New Roman" w:eastAsia="仿宋_GB2312" w:cs="Times New Roman"/>
          <w:color w:val="333333"/>
          <w:kern w:val="0"/>
          <w:sz w:val="32"/>
          <w:szCs w:val="32"/>
        </w:rPr>
        <w:t>2.纳入预算管理的政府性基金预算</w:t>
      </w:r>
      <w:r>
        <w:rPr>
          <w:rFonts w:ascii="Times New Roman" w:hAnsi="Times New Roman" w:eastAsia="仿宋_GB2312" w:cs="Times New Roman"/>
          <w:color w:val="auto"/>
          <w:kern w:val="0"/>
          <w:sz w:val="32"/>
          <w:szCs w:val="32"/>
          <w:highlight w:val="none"/>
        </w:rPr>
        <w:t>拨款收入0万元；</w:t>
      </w:r>
    </w:p>
    <w:p w14:paraId="143A0937">
      <w:pPr>
        <w:keepLines/>
        <w:widowControl/>
        <w:shd w:val="clear" w:color="auto" w:fill="FFFFFF"/>
        <w:ind w:firstLine="645"/>
        <w:jc w:val="left"/>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3.纳入预算管理的国有资本经营预算拨款收入0万元；</w:t>
      </w:r>
    </w:p>
    <w:p w14:paraId="14E24773">
      <w:pPr>
        <w:keepLines/>
        <w:widowControl/>
        <w:shd w:val="clear" w:color="auto" w:fill="FFFFFF"/>
        <w:ind w:firstLine="645"/>
        <w:jc w:val="left"/>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highlight w:val="none"/>
        </w:rPr>
        <w:t>4.纳入财政专户管理资金收入0万元；</w:t>
      </w:r>
    </w:p>
    <w:p w14:paraId="10615DBC">
      <w:pPr>
        <w:keepLines/>
        <w:widowControl/>
        <w:shd w:val="clear" w:color="auto" w:fill="FFFFFF"/>
        <w:ind w:firstLine="645"/>
        <w:jc w:val="left"/>
        <w:rPr>
          <w:rFonts w:ascii="Times New Roman" w:hAnsi="Times New Roman" w:eastAsia="微软雅黑" w:cs="Times New Roman"/>
          <w:color w:val="auto"/>
          <w:kern w:val="0"/>
          <w:sz w:val="24"/>
          <w:szCs w:val="24"/>
          <w:highlight w:val="none"/>
        </w:rPr>
      </w:pPr>
      <w:r>
        <w:rPr>
          <w:rFonts w:ascii="Times New Roman" w:hAnsi="Times New Roman" w:eastAsia="仿宋_GB2312" w:cs="Times New Roman"/>
          <w:color w:val="auto"/>
          <w:kern w:val="0"/>
          <w:sz w:val="32"/>
          <w:szCs w:val="32"/>
          <w:highlight w:val="none"/>
        </w:rPr>
        <w:t>5.单位资金收入0万元。</w:t>
      </w:r>
    </w:p>
    <w:p w14:paraId="2D2D6413">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32"/>
          <w:szCs w:val="32"/>
        </w:rPr>
        <w:t>（二）支出预算</w:t>
      </w:r>
      <w:r>
        <w:rPr>
          <w:rFonts w:hint="eastAsia" w:ascii="Times New Roman" w:hAnsi="Times New Roman" w:eastAsia="仿宋_GB2312" w:cs="Times New Roman"/>
          <w:b/>
          <w:bCs/>
          <w:color w:val="333333"/>
          <w:kern w:val="0"/>
          <w:sz w:val="32"/>
          <w:szCs w:val="32"/>
          <w:lang w:val="en-US" w:eastAsia="zh-CN"/>
        </w:rPr>
        <w:t>959.60</w:t>
      </w:r>
      <w:r>
        <w:rPr>
          <w:rFonts w:ascii="Times New Roman" w:hAnsi="Times New Roman" w:eastAsia="仿宋_GB2312" w:cs="Times New Roman"/>
          <w:b/>
          <w:bCs/>
          <w:color w:val="333333"/>
          <w:kern w:val="0"/>
          <w:sz w:val="32"/>
          <w:szCs w:val="32"/>
        </w:rPr>
        <w:t>万元，</w:t>
      </w:r>
      <w:r>
        <w:rPr>
          <w:rFonts w:ascii="Times New Roman" w:hAnsi="Times New Roman" w:eastAsia="仿宋_GB2312" w:cs="Times New Roman"/>
          <w:color w:val="333333"/>
          <w:kern w:val="0"/>
          <w:sz w:val="32"/>
          <w:szCs w:val="32"/>
        </w:rPr>
        <w:t>包括：</w:t>
      </w:r>
    </w:p>
    <w:p w14:paraId="72BC8689">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333333"/>
          <w:kern w:val="0"/>
          <w:sz w:val="32"/>
          <w:szCs w:val="32"/>
        </w:rPr>
        <w:t>1.基本支</w:t>
      </w:r>
      <w:r>
        <w:rPr>
          <w:rFonts w:ascii="Times New Roman" w:hAnsi="Times New Roman" w:eastAsia="仿宋_GB2312" w:cs="Times New Roman"/>
          <w:color w:val="auto"/>
          <w:kern w:val="0"/>
          <w:sz w:val="32"/>
          <w:szCs w:val="32"/>
        </w:rPr>
        <w:t>出</w:t>
      </w:r>
      <w:r>
        <w:rPr>
          <w:rFonts w:hint="eastAsia" w:ascii="Times New Roman" w:hAnsi="Times New Roman" w:eastAsia="仿宋_GB2312" w:cs="Times New Roman"/>
          <w:color w:val="auto"/>
          <w:kern w:val="0"/>
          <w:sz w:val="32"/>
          <w:szCs w:val="32"/>
          <w:lang w:val="en-US" w:eastAsia="zh-CN"/>
        </w:rPr>
        <w:t>565.10</w:t>
      </w:r>
      <w:r>
        <w:rPr>
          <w:rFonts w:ascii="Times New Roman" w:hAnsi="Times New Roman" w:eastAsia="仿宋_GB2312" w:cs="Times New Roman"/>
          <w:color w:val="auto"/>
          <w:kern w:val="0"/>
          <w:sz w:val="32"/>
          <w:szCs w:val="32"/>
        </w:rPr>
        <w:t>万元,</w:t>
      </w:r>
      <w:r>
        <w:rPr>
          <w:rFonts w:ascii="Times New Roman" w:hAnsi="Times New Roman" w:eastAsia="仿宋_GB2312" w:cs="Times New Roman"/>
          <w:color w:val="auto"/>
          <w:sz w:val="32"/>
          <w:szCs w:val="32"/>
        </w:rPr>
        <w:t xml:space="preserve"> 其中：人员经费</w:t>
      </w:r>
      <w:r>
        <w:rPr>
          <w:rFonts w:hint="eastAsia" w:ascii="Times New Roman" w:hAnsi="Times New Roman" w:eastAsia="仿宋_GB2312" w:cs="Times New Roman"/>
          <w:color w:val="auto"/>
          <w:sz w:val="32"/>
          <w:szCs w:val="32"/>
          <w:lang w:val="en-US" w:eastAsia="zh-CN"/>
        </w:rPr>
        <w:t>525.87</w:t>
      </w:r>
      <w:r>
        <w:rPr>
          <w:rFonts w:ascii="Times New Roman" w:hAnsi="Times New Roman" w:eastAsia="仿宋_GB2312" w:cs="Times New Roman"/>
          <w:color w:val="auto"/>
          <w:sz w:val="32"/>
          <w:szCs w:val="32"/>
        </w:rPr>
        <w:t>万元，公用经费</w:t>
      </w:r>
      <w:r>
        <w:rPr>
          <w:rFonts w:hint="eastAsia" w:ascii="Times New Roman" w:hAnsi="Times New Roman" w:eastAsia="仿宋_GB2312" w:cs="Times New Roman"/>
          <w:color w:val="auto"/>
          <w:sz w:val="32"/>
          <w:szCs w:val="32"/>
          <w:lang w:val="en-US" w:eastAsia="zh-CN"/>
        </w:rPr>
        <w:t>39.23</w:t>
      </w:r>
      <w:r>
        <w:rPr>
          <w:rFonts w:ascii="Times New Roman" w:hAnsi="Times New Roman" w:eastAsia="仿宋_GB2312" w:cs="Times New Roman"/>
          <w:color w:val="auto"/>
          <w:sz w:val="32"/>
          <w:szCs w:val="32"/>
        </w:rPr>
        <w:t>万元</w:t>
      </w:r>
      <w:r>
        <w:rPr>
          <w:rFonts w:ascii="Times New Roman" w:hAnsi="Times New Roman" w:eastAsia="仿宋_GB2312" w:cs="Times New Roman"/>
          <w:color w:val="auto"/>
          <w:kern w:val="0"/>
          <w:sz w:val="32"/>
          <w:szCs w:val="32"/>
        </w:rPr>
        <w:t>；</w:t>
      </w:r>
    </w:p>
    <w:p w14:paraId="7DB0531C">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auto"/>
          <w:kern w:val="0"/>
          <w:sz w:val="32"/>
          <w:szCs w:val="32"/>
        </w:rPr>
        <w:t>2.项目支出</w:t>
      </w:r>
      <w:r>
        <w:rPr>
          <w:rFonts w:hint="eastAsia" w:ascii="Times New Roman" w:hAnsi="Times New Roman" w:eastAsia="仿宋_GB2312" w:cs="Times New Roman"/>
          <w:color w:val="auto"/>
          <w:kern w:val="0"/>
          <w:sz w:val="32"/>
          <w:szCs w:val="32"/>
          <w:lang w:val="en-US" w:eastAsia="zh-CN"/>
        </w:rPr>
        <w:t>394.50</w:t>
      </w:r>
      <w:r>
        <w:rPr>
          <w:rFonts w:ascii="Times New Roman" w:hAnsi="Times New Roman" w:eastAsia="仿宋_GB2312" w:cs="Times New Roman"/>
          <w:color w:val="auto"/>
          <w:kern w:val="0"/>
          <w:sz w:val="32"/>
          <w:szCs w:val="32"/>
        </w:rPr>
        <w:t>万</w:t>
      </w:r>
      <w:r>
        <w:rPr>
          <w:rFonts w:ascii="Times New Roman" w:hAnsi="Times New Roman" w:eastAsia="仿宋_GB2312" w:cs="Times New Roman"/>
          <w:color w:val="333333"/>
          <w:kern w:val="0"/>
          <w:sz w:val="32"/>
          <w:szCs w:val="32"/>
        </w:rPr>
        <w:t>元</w:t>
      </w:r>
      <w:r>
        <w:rPr>
          <w:rFonts w:ascii="Times New Roman" w:hAnsi="Times New Roman" w:eastAsia="仿宋_GB2312" w:cs="Times New Roman"/>
          <w:sz w:val="32"/>
          <w:szCs w:val="32"/>
        </w:rPr>
        <w:t>。</w:t>
      </w:r>
    </w:p>
    <w:p w14:paraId="7759ABD7">
      <w:pPr>
        <w:keepLines/>
        <w:widowControl/>
        <w:shd w:val="clear" w:color="auto" w:fill="FFFFFF"/>
        <w:ind w:firstLine="645"/>
        <w:jc w:val="left"/>
        <w:rPr>
          <w:rFonts w:ascii="Times New Roman" w:hAnsi="Times New Roman" w:eastAsia="黑体" w:cs="Times New Roman"/>
          <w:color w:val="auto"/>
          <w:kern w:val="0"/>
          <w:sz w:val="32"/>
          <w:szCs w:val="32"/>
        </w:rPr>
      </w:pPr>
      <w:r>
        <w:rPr>
          <w:rFonts w:ascii="Times New Roman" w:hAnsi="Times New Roman" w:eastAsia="仿宋_GB2312" w:cs="Times New Roman"/>
          <w:color w:val="333333"/>
          <w:kern w:val="0"/>
          <w:sz w:val="32"/>
          <w:szCs w:val="32"/>
        </w:rPr>
        <w:t>2024年预算收支比2023年</w:t>
      </w:r>
      <w:r>
        <w:rPr>
          <w:rFonts w:ascii="Times New Roman" w:hAnsi="Times New Roman" w:eastAsia="仿宋_GB2312" w:cs="Times New Roman"/>
          <w:color w:val="auto"/>
          <w:kern w:val="0"/>
          <w:sz w:val="32"/>
          <w:szCs w:val="32"/>
        </w:rPr>
        <w:t>增加</w:t>
      </w:r>
      <w:r>
        <w:rPr>
          <w:rFonts w:hint="eastAsia" w:ascii="Times New Roman" w:hAnsi="Times New Roman" w:eastAsia="仿宋_GB2312" w:cs="Times New Roman"/>
          <w:color w:val="auto"/>
          <w:kern w:val="0"/>
          <w:sz w:val="32"/>
          <w:szCs w:val="32"/>
          <w:lang w:val="en-US" w:eastAsia="zh-CN"/>
        </w:rPr>
        <w:t>110.67</w:t>
      </w:r>
      <w:r>
        <w:rPr>
          <w:rFonts w:ascii="Times New Roman" w:hAnsi="Times New Roman" w:eastAsia="仿宋_GB2312" w:cs="Times New Roman"/>
          <w:color w:val="auto"/>
          <w:kern w:val="0"/>
          <w:sz w:val="32"/>
          <w:szCs w:val="32"/>
        </w:rPr>
        <w:t>万元，增加变化的主要原因为</w:t>
      </w:r>
      <w:r>
        <w:rPr>
          <w:rFonts w:hint="eastAsia" w:ascii="Times New Roman" w:hAnsi="Times New Roman" w:eastAsia="仿宋_GB2312" w:cs="Times New Roman"/>
          <w:color w:val="auto"/>
          <w:kern w:val="0"/>
          <w:sz w:val="32"/>
          <w:szCs w:val="32"/>
          <w:lang w:val="en-US" w:eastAsia="zh-CN"/>
        </w:rPr>
        <w:t>新成立事业单位人员增加，公用经费增多</w:t>
      </w:r>
      <w:r>
        <w:rPr>
          <w:rFonts w:ascii="Times New Roman" w:hAnsi="Times New Roman" w:eastAsia="仿宋_GB2312" w:cs="Times New Roman"/>
          <w:color w:val="auto"/>
          <w:kern w:val="0"/>
          <w:sz w:val="32"/>
          <w:szCs w:val="32"/>
        </w:rPr>
        <w:t>。</w:t>
      </w:r>
    </w:p>
    <w:p w14:paraId="28B4F3A4">
      <w:pPr>
        <w:keepLines/>
        <w:widowControl/>
        <w:shd w:val="clear" w:color="auto" w:fill="FFFFFF"/>
        <w:ind w:firstLine="660"/>
        <w:jc w:val="left"/>
        <w:rPr>
          <w:rFonts w:ascii="Times New Roman" w:hAnsi="Times New Roman" w:eastAsia="黑体" w:cs="Times New Roman"/>
          <w:color w:val="333333"/>
          <w:kern w:val="0"/>
          <w:sz w:val="32"/>
          <w:szCs w:val="32"/>
        </w:rPr>
      </w:pPr>
    </w:p>
    <w:p w14:paraId="053A0E5A">
      <w:pPr>
        <w:keepLines/>
        <w:widowControl/>
        <w:shd w:val="clear" w:color="auto" w:fill="FFFFFF"/>
        <w:ind w:firstLine="660"/>
        <w:jc w:val="left"/>
        <w:rPr>
          <w:rFonts w:ascii="Times New Roman" w:hAnsi="Times New Roman" w:eastAsia="黑体" w:cs="Times New Roman"/>
          <w:color w:val="333333"/>
          <w:kern w:val="0"/>
          <w:sz w:val="32"/>
          <w:szCs w:val="32"/>
        </w:rPr>
      </w:pPr>
    </w:p>
    <w:p w14:paraId="41F6470E">
      <w:pPr>
        <w:keepLines/>
        <w:widowControl/>
        <w:shd w:val="clear" w:color="auto" w:fill="FFFFFF"/>
        <w:ind w:firstLine="660"/>
        <w:jc w:val="left"/>
        <w:rPr>
          <w:rFonts w:ascii="Times New Roman" w:hAnsi="Times New Roman" w:eastAsia="黑体" w:cs="Times New Roman"/>
          <w:color w:val="333333"/>
          <w:kern w:val="0"/>
          <w:sz w:val="32"/>
          <w:szCs w:val="32"/>
        </w:rPr>
      </w:pPr>
    </w:p>
    <w:p w14:paraId="363D148D">
      <w:pPr>
        <w:keepLines/>
        <w:widowControl/>
        <w:shd w:val="clear" w:color="auto" w:fill="FFFFFF"/>
        <w:ind w:firstLine="660"/>
        <w:jc w:val="left"/>
        <w:rPr>
          <w:rFonts w:ascii="Times New Roman" w:hAnsi="Times New Roman" w:eastAsia="黑体" w:cs="Times New Roman"/>
          <w:color w:val="333333"/>
          <w:kern w:val="0"/>
          <w:sz w:val="32"/>
          <w:szCs w:val="32"/>
        </w:rPr>
      </w:pPr>
    </w:p>
    <w:p w14:paraId="652CBBD8">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二、机关运行经费安排情况</w:t>
      </w:r>
    </w:p>
    <w:p w14:paraId="5668FF86">
      <w:pPr>
        <w:keepLines/>
        <w:widowControl/>
        <w:shd w:val="clear" w:color="auto" w:fill="FFFFFF"/>
        <w:ind w:firstLine="645"/>
        <w:jc w:val="left"/>
        <w:rPr>
          <w:rFonts w:ascii="Times New Roman" w:hAnsi="Times New Roman" w:eastAsia="微软雅黑" w:cs="Times New Roman"/>
          <w:color w:val="auto"/>
          <w:kern w:val="0"/>
          <w:sz w:val="24"/>
          <w:szCs w:val="24"/>
        </w:rPr>
      </w:pPr>
      <w:bookmarkStart w:id="1" w:name="_GoBack"/>
      <w:r>
        <w:rPr>
          <w:rFonts w:ascii="Times New Roman" w:hAnsi="Times New Roman" w:eastAsia="仿宋_GB2312" w:cs="Times New Roman"/>
          <w:color w:val="auto"/>
          <w:kern w:val="0"/>
          <w:sz w:val="32"/>
          <w:szCs w:val="32"/>
        </w:rPr>
        <w:t>2024年</w:t>
      </w:r>
      <w:r>
        <w:rPr>
          <w:rFonts w:hint="eastAsia" w:ascii="Times New Roman" w:hAnsi="Times New Roman" w:eastAsia="仿宋_GB2312" w:cs="Times New Roman"/>
          <w:color w:val="auto"/>
          <w:kern w:val="0"/>
          <w:sz w:val="32"/>
          <w:szCs w:val="32"/>
          <w:lang w:val="en-US" w:eastAsia="zh-CN"/>
        </w:rPr>
        <w:t>中共</w:t>
      </w:r>
      <w:r>
        <w:rPr>
          <w:rFonts w:ascii="Times New Roman" w:hAnsi="Times New Roman" w:eastAsia="仿宋_GB2312" w:cs="Times New Roman"/>
          <w:color w:val="auto"/>
          <w:kern w:val="0"/>
          <w:sz w:val="32"/>
          <w:szCs w:val="32"/>
        </w:rPr>
        <w:t>本溪市溪湖区</w:t>
      </w:r>
      <w:r>
        <w:rPr>
          <w:rFonts w:hint="eastAsia" w:ascii="Times New Roman" w:hAnsi="Times New Roman" w:eastAsia="仿宋_GB2312" w:cs="Times New Roman"/>
          <w:color w:val="auto"/>
          <w:kern w:val="0"/>
          <w:sz w:val="32"/>
          <w:szCs w:val="32"/>
          <w:lang w:val="en-US" w:eastAsia="zh-CN"/>
        </w:rPr>
        <w:t>委组织部</w:t>
      </w:r>
      <w:r>
        <w:rPr>
          <w:rFonts w:ascii="Times New Roman" w:hAnsi="Times New Roman" w:eastAsia="仿宋_GB2312" w:cs="Times New Roman"/>
          <w:color w:val="auto"/>
          <w:kern w:val="0"/>
          <w:sz w:val="32"/>
          <w:szCs w:val="32"/>
        </w:rPr>
        <w:t>机关运行经费预算为</w:t>
      </w:r>
      <w:r>
        <w:rPr>
          <w:rFonts w:hint="eastAsia" w:ascii="Times New Roman" w:hAnsi="Times New Roman" w:eastAsia="仿宋_GB2312" w:cs="Times New Roman"/>
          <w:color w:val="auto"/>
          <w:kern w:val="0"/>
          <w:sz w:val="32"/>
          <w:szCs w:val="32"/>
          <w:lang w:val="en-US" w:eastAsia="zh-CN"/>
        </w:rPr>
        <w:t>39.23</w:t>
      </w:r>
      <w:r>
        <w:rPr>
          <w:rFonts w:ascii="Times New Roman" w:hAnsi="Times New Roman" w:eastAsia="仿宋_GB2312" w:cs="Times New Roman"/>
          <w:color w:val="auto"/>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2024年预算比2023年</w:t>
      </w:r>
      <w:r>
        <w:rPr>
          <w:rFonts w:hint="eastAsia" w:ascii="Times New Roman" w:hAnsi="Times New Roman" w:eastAsia="仿宋_GB2312" w:cs="Times New Roman"/>
          <w:color w:val="auto"/>
          <w:kern w:val="0"/>
          <w:sz w:val="32"/>
          <w:szCs w:val="32"/>
        </w:rPr>
        <w:t>增加</w:t>
      </w:r>
      <w:r>
        <w:rPr>
          <w:rFonts w:hint="eastAsia" w:ascii="Times New Roman" w:hAnsi="Times New Roman" w:eastAsia="仿宋_GB2312" w:cs="Times New Roman"/>
          <w:color w:val="auto"/>
          <w:kern w:val="0"/>
          <w:sz w:val="32"/>
          <w:szCs w:val="32"/>
          <w:lang w:val="en-US" w:eastAsia="zh-CN"/>
        </w:rPr>
        <w:t>17.71</w:t>
      </w:r>
      <w:r>
        <w:rPr>
          <w:rFonts w:ascii="Times New Roman" w:hAnsi="Times New Roman" w:eastAsia="仿宋_GB2312" w:cs="Times New Roman"/>
          <w:color w:val="auto"/>
          <w:kern w:val="0"/>
          <w:sz w:val="32"/>
          <w:szCs w:val="32"/>
        </w:rPr>
        <w:t>万元，主要原因是</w:t>
      </w:r>
      <w:r>
        <w:rPr>
          <w:rFonts w:hint="eastAsia" w:ascii="Times New Roman" w:hAnsi="Times New Roman" w:eastAsia="仿宋_GB2312" w:cs="Times New Roman"/>
          <w:color w:val="auto"/>
          <w:kern w:val="0"/>
          <w:sz w:val="32"/>
          <w:szCs w:val="32"/>
          <w:lang w:val="en-US" w:eastAsia="zh-CN"/>
        </w:rPr>
        <w:t>人员增加</w:t>
      </w:r>
      <w:r>
        <w:rPr>
          <w:rFonts w:ascii="Times New Roman" w:hAnsi="Times New Roman" w:eastAsia="仿宋_GB2312" w:cs="Times New Roman"/>
          <w:color w:val="auto"/>
          <w:kern w:val="0"/>
          <w:sz w:val="32"/>
          <w:szCs w:val="32"/>
        </w:rPr>
        <w:t>。</w:t>
      </w:r>
    </w:p>
    <w:p w14:paraId="54AD751B">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黑体" w:eastAsia="黑体" w:cs="Times New Roman"/>
          <w:color w:val="auto"/>
          <w:kern w:val="0"/>
          <w:sz w:val="32"/>
          <w:szCs w:val="32"/>
        </w:rPr>
        <w:t>三、政府采购情况</w:t>
      </w:r>
    </w:p>
    <w:bookmarkEnd w:id="1"/>
    <w:p w14:paraId="5F697B10">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2024年本溪市溪湖区</w:t>
      </w:r>
      <w:r>
        <w:rPr>
          <w:rFonts w:hint="eastAsia" w:ascii="Times New Roman" w:hAnsi="Times New Roman" w:eastAsia="仿宋_GB2312" w:cs="Times New Roman"/>
          <w:color w:val="auto"/>
          <w:kern w:val="0"/>
          <w:sz w:val="32"/>
          <w:szCs w:val="32"/>
          <w:lang w:val="en-US" w:eastAsia="zh-CN"/>
        </w:rPr>
        <w:t>委组织部</w:t>
      </w:r>
      <w:r>
        <w:rPr>
          <w:rFonts w:ascii="Times New Roman" w:hAnsi="Times New Roman" w:eastAsia="仿宋_GB2312" w:cs="Times New Roman"/>
          <w:color w:val="auto"/>
          <w:kern w:val="0"/>
          <w:sz w:val="32"/>
          <w:szCs w:val="32"/>
        </w:rPr>
        <w:t>安排政府采购预算0万元，其中：政府采购货物支出0万元，政府购买服务支出0万元，政府采购工程支出0万元。</w:t>
      </w:r>
    </w:p>
    <w:p w14:paraId="60413129">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黑体" w:eastAsia="黑体" w:cs="Times New Roman"/>
          <w:color w:val="auto"/>
          <w:kern w:val="0"/>
          <w:sz w:val="32"/>
          <w:szCs w:val="32"/>
        </w:rPr>
        <w:t>四、</w:t>
      </w:r>
      <w:r>
        <w:rPr>
          <w:rFonts w:ascii="Times New Roman" w:hAnsi="Times New Roman" w:eastAsia="黑体" w:cs="Times New Roman"/>
          <w:color w:val="auto"/>
          <w:kern w:val="0"/>
          <w:sz w:val="32"/>
          <w:szCs w:val="32"/>
        </w:rPr>
        <w:t>“</w:t>
      </w:r>
      <w:r>
        <w:rPr>
          <w:rFonts w:ascii="Times New Roman" w:hAnsi="黑体" w:eastAsia="黑体" w:cs="Times New Roman"/>
          <w:color w:val="auto"/>
          <w:kern w:val="0"/>
          <w:sz w:val="32"/>
          <w:szCs w:val="32"/>
        </w:rPr>
        <w:t>三公</w:t>
      </w:r>
      <w:r>
        <w:rPr>
          <w:rFonts w:ascii="Times New Roman" w:hAnsi="Times New Roman" w:eastAsia="黑体" w:cs="Times New Roman"/>
          <w:color w:val="auto"/>
          <w:kern w:val="0"/>
          <w:sz w:val="32"/>
          <w:szCs w:val="32"/>
        </w:rPr>
        <w:t>”</w:t>
      </w:r>
      <w:r>
        <w:rPr>
          <w:rFonts w:ascii="Times New Roman" w:hAnsi="黑体" w:eastAsia="黑体" w:cs="Times New Roman"/>
          <w:color w:val="auto"/>
          <w:kern w:val="0"/>
          <w:sz w:val="32"/>
          <w:szCs w:val="32"/>
        </w:rPr>
        <w:t>经费预算情况</w:t>
      </w:r>
    </w:p>
    <w:p w14:paraId="07702000">
      <w:pPr>
        <w:keepLines/>
        <w:widowControl/>
        <w:shd w:val="clear" w:color="auto" w:fill="FFFFFF"/>
        <w:ind w:firstLine="645"/>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2024年，本溪市溪湖区</w:t>
      </w:r>
      <w:r>
        <w:rPr>
          <w:rFonts w:hint="eastAsia" w:ascii="Times New Roman" w:hAnsi="Times New Roman" w:eastAsia="仿宋_GB2312" w:cs="Times New Roman"/>
          <w:color w:val="auto"/>
          <w:kern w:val="0"/>
          <w:sz w:val="32"/>
          <w:szCs w:val="32"/>
          <w:lang w:val="en-US" w:eastAsia="zh-CN"/>
        </w:rPr>
        <w:t>委组织部</w:t>
      </w:r>
      <w:r>
        <w:rPr>
          <w:rFonts w:ascii="Times New Roman" w:hAnsi="Times New Roman" w:eastAsia="仿宋_GB2312" w:cs="Times New Roman"/>
          <w:color w:val="auto"/>
          <w:kern w:val="0"/>
          <w:sz w:val="32"/>
          <w:szCs w:val="32"/>
        </w:rPr>
        <w:t>一般公共预算安排“三公”经费预算为</w:t>
      </w:r>
      <w:r>
        <w:rPr>
          <w:rFonts w:hint="eastAsia" w:ascii="Times New Roman" w:hAnsi="Times New Roman" w:eastAsia="仿宋_GB2312" w:cs="Times New Roman"/>
          <w:color w:val="auto"/>
          <w:kern w:val="0"/>
          <w:sz w:val="32"/>
          <w:szCs w:val="32"/>
          <w:lang w:val="en-US" w:eastAsia="zh-CN"/>
        </w:rPr>
        <w:t>2.78</w:t>
      </w:r>
      <w:r>
        <w:rPr>
          <w:rFonts w:ascii="Times New Roman" w:hAnsi="Times New Roman" w:eastAsia="仿宋_GB2312" w:cs="Times New Roman"/>
          <w:color w:val="auto"/>
          <w:kern w:val="0"/>
          <w:sz w:val="32"/>
          <w:szCs w:val="32"/>
        </w:rPr>
        <w:t>万元，</w:t>
      </w:r>
      <w:r>
        <w:rPr>
          <w:rFonts w:hint="eastAsia" w:ascii="Times New Roman" w:hAnsi="Times New Roman" w:eastAsia="仿宋_GB2312" w:cs="Times New Roman"/>
          <w:color w:val="auto"/>
          <w:kern w:val="0"/>
          <w:sz w:val="32"/>
          <w:szCs w:val="32"/>
          <w:lang w:val="en-US" w:eastAsia="zh-CN"/>
        </w:rPr>
        <w:t>与</w:t>
      </w:r>
      <w:r>
        <w:rPr>
          <w:rFonts w:ascii="Times New Roman" w:hAnsi="Times New Roman" w:eastAsia="仿宋_GB2312" w:cs="Times New Roman"/>
          <w:color w:val="auto"/>
          <w:kern w:val="0"/>
          <w:sz w:val="32"/>
          <w:szCs w:val="32"/>
        </w:rPr>
        <w:t>2023年</w:t>
      </w:r>
      <w:r>
        <w:rPr>
          <w:rFonts w:hint="eastAsia" w:ascii="Times New Roman" w:hAnsi="Times New Roman" w:eastAsia="仿宋_GB2312" w:cs="Times New Roman"/>
          <w:color w:val="auto"/>
          <w:kern w:val="0"/>
          <w:sz w:val="32"/>
          <w:szCs w:val="32"/>
          <w:lang w:val="en-US" w:eastAsia="zh-CN"/>
        </w:rPr>
        <w:t>持平</w:t>
      </w:r>
      <w:r>
        <w:rPr>
          <w:rFonts w:ascii="Times New Roman" w:hAnsi="Times New Roman" w:eastAsia="仿宋_GB2312" w:cs="Times New Roman"/>
          <w:color w:val="auto"/>
          <w:kern w:val="0"/>
          <w:sz w:val="32"/>
          <w:szCs w:val="32"/>
        </w:rPr>
        <w:t>。</w:t>
      </w:r>
    </w:p>
    <w:p w14:paraId="30654611">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其中：</w:t>
      </w:r>
    </w:p>
    <w:p w14:paraId="365EB9B3">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1.因公出国（境）费0万元，比2023年持平。</w:t>
      </w:r>
    </w:p>
    <w:p w14:paraId="5197E3EF">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2.公务接待费0万元，比2023年持平0万元，主要原因是持平0人。</w:t>
      </w:r>
    </w:p>
    <w:p w14:paraId="43B9B40A">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3.公务用车购置及运行费</w:t>
      </w:r>
      <w:r>
        <w:rPr>
          <w:rFonts w:hint="eastAsia" w:ascii="Times New Roman" w:hAnsi="Times New Roman" w:eastAsia="仿宋_GB2312" w:cs="Times New Roman"/>
          <w:color w:val="auto"/>
          <w:kern w:val="0"/>
          <w:sz w:val="32"/>
          <w:szCs w:val="32"/>
          <w:lang w:val="en-US" w:eastAsia="zh-CN"/>
        </w:rPr>
        <w:t>2.78</w:t>
      </w:r>
      <w:r>
        <w:rPr>
          <w:rFonts w:ascii="Times New Roman" w:hAnsi="Times New Roman" w:eastAsia="仿宋_GB2312" w:cs="Times New Roman"/>
          <w:color w:val="auto"/>
          <w:kern w:val="0"/>
          <w:sz w:val="32"/>
          <w:szCs w:val="32"/>
        </w:rPr>
        <w:t>万元，比2023年持平0万元。</w:t>
      </w:r>
    </w:p>
    <w:p w14:paraId="37A05D81">
      <w:pPr>
        <w:keepLines/>
        <w:widowControl/>
        <w:shd w:val="clear" w:color="auto" w:fill="FFFFFF"/>
        <w:jc w:val="center"/>
        <w:rPr>
          <w:rFonts w:ascii="Times New Roman" w:hAnsi="Times New Roman" w:eastAsia="仿宋_GB2312" w:cs="Times New Roman"/>
          <w:b/>
          <w:bCs/>
          <w:color w:val="333333"/>
          <w:kern w:val="0"/>
          <w:sz w:val="32"/>
          <w:szCs w:val="32"/>
        </w:rPr>
      </w:pPr>
    </w:p>
    <w:p w14:paraId="7152071F">
      <w:pPr>
        <w:keepLines/>
        <w:widowControl/>
        <w:shd w:val="clear" w:color="auto" w:fill="FFFFFF"/>
        <w:jc w:val="center"/>
        <w:rPr>
          <w:rFonts w:ascii="Times New Roman" w:hAnsi="Times New Roman" w:eastAsia="仿宋_GB2312" w:cs="Times New Roman"/>
          <w:b/>
          <w:bCs/>
          <w:color w:val="333333"/>
          <w:kern w:val="0"/>
          <w:sz w:val="32"/>
          <w:szCs w:val="32"/>
        </w:rPr>
      </w:pPr>
    </w:p>
    <w:p w14:paraId="537D1E76">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32"/>
          <w:szCs w:val="32"/>
        </w:rPr>
        <w:t>2024年本溪市溪湖</w:t>
      </w:r>
      <w:r>
        <w:rPr>
          <w:rFonts w:ascii="Times New Roman" w:hAnsi="Times New Roman" w:eastAsia="仿宋_GB2312" w:cs="Times New Roman"/>
          <w:b/>
          <w:bCs/>
          <w:color w:val="auto"/>
          <w:kern w:val="0"/>
          <w:sz w:val="32"/>
          <w:szCs w:val="32"/>
        </w:rPr>
        <w:t>区</w:t>
      </w:r>
      <w:r>
        <w:rPr>
          <w:rFonts w:hint="eastAsia" w:ascii="Times New Roman" w:hAnsi="Times New Roman" w:eastAsia="仿宋_GB2312" w:cs="Times New Roman"/>
          <w:b/>
          <w:bCs/>
          <w:color w:val="auto"/>
          <w:kern w:val="0"/>
          <w:sz w:val="32"/>
          <w:szCs w:val="32"/>
          <w:lang w:val="en-US" w:eastAsia="zh-CN"/>
        </w:rPr>
        <w:t>委组织部</w:t>
      </w:r>
      <w:r>
        <w:rPr>
          <w:rFonts w:ascii="Times New Roman" w:hAnsi="Times New Roman" w:eastAsia="仿宋_GB2312" w:cs="Times New Roman"/>
          <w:b/>
          <w:bCs/>
          <w:color w:val="333333"/>
          <w:kern w:val="0"/>
          <w:sz w:val="32"/>
          <w:szCs w:val="32"/>
        </w:rPr>
        <w:t>“三公”经费预算表</w:t>
      </w:r>
    </w:p>
    <w:p w14:paraId="28B2EB96">
      <w:pPr>
        <w:keepLines/>
        <w:widowControl/>
        <w:shd w:val="clear" w:color="auto" w:fill="FFFFFF"/>
        <w:jc w:val="right"/>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14:paraId="26D60F2C">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1B3C25D9">
            <w:pPr>
              <w:keepLines/>
              <w:widowControl/>
              <w:jc w:val="center"/>
              <w:textAlignment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14:paraId="1811C8C9">
            <w:pPr>
              <w:keepLines/>
              <w:widowControl/>
              <w:jc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金额</w:t>
            </w:r>
          </w:p>
        </w:tc>
      </w:tr>
      <w:tr w14:paraId="123EC5EB">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5F8B42A8">
            <w:pPr>
              <w:keepLines/>
              <w:widowControl/>
              <w:jc w:val="left"/>
              <w:rPr>
                <w:rFonts w:ascii="Times New Roman" w:hAnsi="Times New Roman" w:eastAsia="宋体" w:cs="Times New Roman"/>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14:paraId="4FDE9050">
            <w:pPr>
              <w:keepLines/>
              <w:widowControl/>
              <w:jc w:val="center"/>
              <w:textAlignment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2023</w:t>
            </w:r>
            <w:r>
              <w:rPr>
                <w:rFonts w:ascii="Times New Roman" w:hAnsi="宋体" w:eastAsia="宋体" w:cs="Times New Roman"/>
                <w:b/>
                <w:bCs/>
                <w:kern w:val="0"/>
                <w:sz w:val="24"/>
                <w:szCs w:val="24"/>
              </w:rPr>
              <w:t>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14:paraId="79A72E40">
            <w:pPr>
              <w:keepLines/>
              <w:widowControl/>
              <w:jc w:val="center"/>
              <w:textAlignment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2024</w:t>
            </w:r>
            <w:r>
              <w:rPr>
                <w:rFonts w:ascii="Times New Roman" w:hAnsi="宋体" w:eastAsia="宋体" w:cs="Times New Roman"/>
                <w:b/>
                <w:bCs/>
                <w:kern w:val="0"/>
                <w:sz w:val="24"/>
                <w:szCs w:val="24"/>
              </w:rPr>
              <w:t>年</w:t>
            </w:r>
          </w:p>
        </w:tc>
      </w:tr>
      <w:tr w14:paraId="770A6A55">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14:paraId="75110000">
            <w:pPr>
              <w:keepLines/>
              <w:widowControl/>
              <w:jc w:val="center"/>
              <w:textAlignment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14:paraId="205EAD9F">
            <w:pPr>
              <w:keepLines/>
              <w:widowControl/>
              <w:jc w:val="right"/>
              <w:rPr>
                <w:rFonts w:ascii="Times New Roman" w:hAnsi="Times New Roman" w:eastAsia="宋体" w:cs="Times New Roman"/>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14:paraId="2B1BE5AD">
            <w:pPr>
              <w:keepLines/>
              <w:widowControl/>
              <w:jc w:val="right"/>
              <w:rPr>
                <w:rFonts w:ascii="Times New Roman" w:hAnsi="Times New Roman" w:eastAsia="宋体" w:cs="Times New Roman"/>
                <w:kern w:val="0"/>
                <w:sz w:val="24"/>
                <w:szCs w:val="24"/>
              </w:rPr>
            </w:pPr>
          </w:p>
        </w:tc>
      </w:tr>
      <w:tr w14:paraId="764AB6DB">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303BC20C">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31B3E9CB">
            <w:pPr>
              <w:keepLines/>
              <w:widowControl/>
              <w:jc w:val="right"/>
              <w:rPr>
                <w:rFonts w:ascii="Times New Roman" w:hAnsi="Times New Roman" w:eastAsia="宋体" w:cs="Times New Roman"/>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11ABE0A0">
            <w:pPr>
              <w:keepLines/>
              <w:widowControl/>
              <w:jc w:val="right"/>
              <w:rPr>
                <w:rFonts w:ascii="Times New Roman" w:hAnsi="Times New Roman" w:eastAsia="宋体" w:cs="Times New Roman"/>
                <w:kern w:val="0"/>
                <w:sz w:val="24"/>
                <w:szCs w:val="24"/>
              </w:rPr>
            </w:pPr>
          </w:p>
        </w:tc>
      </w:tr>
      <w:tr w14:paraId="123F31FA">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02EE42A2">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宋体" w:eastAsia="宋体" w:cs="Times New Roman"/>
                <w:kern w:val="0"/>
                <w:sz w:val="24"/>
                <w:szCs w:val="24"/>
              </w:rPr>
              <w:t>、公务接待费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14:paraId="5A03CE16">
            <w:pPr>
              <w:keepLines/>
              <w:widowControl/>
              <w:jc w:val="right"/>
              <w:rPr>
                <w:rFonts w:ascii="Times New Roman" w:hAnsi="Times New Roman" w:eastAsia="宋体" w:cs="Times New Roman"/>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3216B826">
            <w:pPr>
              <w:keepLines/>
              <w:widowControl/>
              <w:jc w:val="right"/>
              <w:rPr>
                <w:rFonts w:ascii="Times New Roman" w:hAnsi="Times New Roman" w:eastAsia="宋体" w:cs="Times New Roman"/>
                <w:kern w:val="0"/>
                <w:sz w:val="24"/>
                <w:szCs w:val="24"/>
              </w:rPr>
            </w:pPr>
          </w:p>
        </w:tc>
      </w:tr>
      <w:tr w14:paraId="6AE6C75F">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204D4740">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ascii="Times New Roman" w:hAnsi="宋体" w:eastAsia="宋体" w:cs="Times New Roman"/>
                <w:kern w:val="0"/>
                <w:sz w:val="24"/>
                <w:szCs w:val="24"/>
              </w:rPr>
              <w:t>、公务用车购置及运行费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1F6D5115">
            <w:pPr>
              <w:keepLines/>
              <w:widowControl/>
              <w:jc w:val="right"/>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2.78</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14:paraId="189446FF">
            <w:pPr>
              <w:keepLines/>
              <w:widowControl/>
              <w:jc w:val="right"/>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2.78</w:t>
            </w:r>
          </w:p>
        </w:tc>
      </w:tr>
      <w:tr w14:paraId="0805AAF6">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31CDF8A4">
            <w:pPr>
              <w:keepLines/>
              <w:widowControl/>
              <w:jc w:val="left"/>
              <w:textAlignment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04A910B7">
            <w:pPr>
              <w:keepLines/>
              <w:widowControl/>
              <w:jc w:val="right"/>
              <w:rPr>
                <w:rFonts w:ascii="Times New Roman" w:hAnsi="Times New Roman" w:eastAsia="宋体" w:cs="Times New Roman"/>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6CD3B55E">
            <w:pPr>
              <w:keepLines/>
              <w:widowControl/>
              <w:jc w:val="right"/>
              <w:rPr>
                <w:rFonts w:ascii="Times New Roman" w:hAnsi="Times New Roman" w:eastAsia="宋体" w:cs="Times New Roman"/>
                <w:kern w:val="0"/>
                <w:sz w:val="24"/>
                <w:szCs w:val="24"/>
              </w:rPr>
            </w:pPr>
          </w:p>
        </w:tc>
      </w:tr>
      <w:tr w14:paraId="37208F84">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36E024AA">
            <w:pPr>
              <w:keepLines/>
              <w:widowControl/>
              <w:jc w:val="left"/>
              <w:textAlignment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14:paraId="0135920D">
            <w:pPr>
              <w:keepLines/>
              <w:widowControl/>
              <w:jc w:val="right"/>
              <w:rPr>
                <w:rFonts w:ascii="Times New Roman" w:hAnsi="Times New Roman" w:eastAsia="宋体" w:cs="Times New Roman"/>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6EFCBC91">
            <w:pPr>
              <w:keepLines/>
              <w:widowControl/>
              <w:jc w:val="right"/>
              <w:rPr>
                <w:rFonts w:ascii="Times New Roman" w:hAnsi="Times New Roman" w:eastAsia="宋体" w:cs="Times New Roman"/>
                <w:kern w:val="0"/>
                <w:sz w:val="24"/>
                <w:szCs w:val="24"/>
              </w:rPr>
            </w:pPr>
          </w:p>
        </w:tc>
      </w:tr>
    </w:tbl>
    <w:p w14:paraId="2FD57105">
      <w:pPr>
        <w:keepLines/>
        <w:widowControl/>
        <w:shd w:val="clear" w:color="auto" w:fill="FFFFFF"/>
        <w:jc w:val="left"/>
        <w:rPr>
          <w:rFonts w:ascii="Times New Roman" w:hAnsi="Times New Roman" w:eastAsia="微软雅黑" w:cs="Times New Roman"/>
          <w:color w:val="333333"/>
          <w:kern w:val="0"/>
          <w:sz w:val="24"/>
          <w:szCs w:val="24"/>
        </w:rPr>
      </w:pPr>
    </w:p>
    <w:p w14:paraId="75914D4E">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五、国有资产占用情况</w:t>
      </w:r>
    </w:p>
    <w:p w14:paraId="63FF0B3A">
      <w:pPr>
        <w:keepLines/>
        <w:widowControl/>
        <w:shd w:val="clear" w:color="auto" w:fill="FFFFFF"/>
        <w:ind w:firstLine="645"/>
        <w:jc w:val="left"/>
        <w:rPr>
          <w:rFonts w:hint="eastAsia" w:ascii="Times New Roman" w:hAnsi="Times New Roman" w:eastAsia="仿宋_GB2312" w:cs="Times New Roman"/>
          <w:color w:val="auto"/>
          <w:kern w:val="0"/>
          <w:sz w:val="32"/>
          <w:szCs w:val="32"/>
          <w:lang w:eastAsia="zh-CN"/>
        </w:rPr>
      </w:pPr>
      <w:r>
        <w:rPr>
          <w:rFonts w:ascii="Times New Roman" w:hAnsi="Times New Roman" w:eastAsia="仿宋_GB2312" w:cs="Times New Roman"/>
          <w:color w:val="auto"/>
          <w:kern w:val="0"/>
          <w:sz w:val="32"/>
          <w:szCs w:val="32"/>
        </w:rPr>
        <w:t>本溪市溪湖区</w:t>
      </w:r>
      <w:r>
        <w:rPr>
          <w:rFonts w:hint="eastAsia" w:ascii="Times New Roman" w:hAnsi="Times New Roman" w:eastAsia="仿宋_GB2312" w:cs="Times New Roman"/>
          <w:color w:val="auto"/>
          <w:kern w:val="0"/>
          <w:sz w:val="32"/>
          <w:szCs w:val="32"/>
          <w:lang w:val="en-US" w:eastAsia="zh-CN"/>
        </w:rPr>
        <w:t>委组织部</w:t>
      </w:r>
      <w:r>
        <w:rPr>
          <w:rFonts w:ascii="Times New Roman" w:hAnsi="Times New Roman" w:eastAsia="仿宋_GB2312" w:cs="Times New Roman"/>
          <w:color w:val="auto"/>
          <w:kern w:val="0"/>
          <w:sz w:val="32"/>
          <w:szCs w:val="32"/>
        </w:rPr>
        <w:t>共有车辆</w:t>
      </w:r>
      <w:r>
        <w:rPr>
          <w:rFonts w:hint="eastAsia" w:ascii="Times New Roman" w:hAnsi="Times New Roman" w:eastAsia="仿宋_GB2312" w:cs="Times New Roman"/>
          <w:color w:val="auto"/>
          <w:kern w:val="0"/>
          <w:sz w:val="32"/>
          <w:szCs w:val="32"/>
          <w:lang w:val="en-US" w:eastAsia="zh-CN"/>
        </w:rPr>
        <w:t>1</w:t>
      </w:r>
      <w:r>
        <w:rPr>
          <w:rFonts w:ascii="Times New Roman" w:hAnsi="Times New Roman" w:eastAsia="仿宋_GB2312" w:cs="Times New Roman"/>
          <w:color w:val="auto"/>
          <w:kern w:val="0"/>
          <w:sz w:val="32"/>
          <w:szCs w:val="32"/>
        </w:rPr>
        <w:t>台，其中：一般公务用车</w:t>
      </w:r>
      <w:r>
        <w:rPr>
          <w:rFonts w:hint="eastAsia" w:ascii="Times New Roman" w:hAnsi="Times New Roman" w:eastAsia="仿宋_GB2312" w:cs="Times New Roman"/>
          <w:color w:val="auto"/>
          <w:kern w:val="0"/>
          <w:sz w:val="32"/>
          <w:szCs w:val="32"/>
          <w:lang w:val="en-US" w:eastAsia="zh-CN"/>
        </w:rPr>
        <w:t>1</w:t>
      </w:r>
      <w:r>
        <w:rPr>
          <w:rFonts w:ascii="Times New Roman" w:hAnsi="Times New Roman" w:eastAsia="仿宋_GB2312" w:cs="Times New Roman"/>
          <w:color w:val="auto"/>
          <w:kern w:val="0"/>
          <w:sz w:val="32"/>
          <w:szCs w:val="32"/>
        </w:rPr>
        <w:t>台</w:t>
      </w:r>
      <w:r>
        <w:rPr>
          <w:rFonts w:hint="eastAsia" w:ascii="Times New Roman" w:hAnsi="Times New Roman" w:eastAsia="仿宋_GB2312" w:cs="Times New Roman"/>
          <w:color w:val="auto"/>
          <w:kern w:val="0"/>
          <w:sz w:val="32"/>
          <w:szCs w:val="32"/>
          <w:lang w:eastAsia="zh-CN"/>
        </w:rPr>
        <w:t>。</w:t>
      </w:r>
    </w:p>
    <w:p w14:paraId="07DE068A">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黑体" w:eastAsia="黑体" w:cs="Times New Roman"/>
          <w:color w:val="auto"/>
          <w:kern w:val="0"/>
          <w:sz w:val="32"/>
          <w:szCs w:val="32"/>
        </w:rPr>
        <w:t>六、绩效情况</w:t>
      </w:r>
    </w:p>
    <w:p w14:paraId="415D3F56">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根据预算绩效管理要求，本溪市溪湖区</w:t>
      </w:r>
      <w:r>
        <w:rPr>
          <w:rFonts w:hint="eastAsia" w:ascii="Times New Roman" w:hAnsi="Times New Roman" w:eastAsia="仿宋_GB2312" w:cs="Times New Roman"/>
          <w:color w:val="auto"/>
          <w:kern w:val="0"/>
          <w:sz w:val="32"/>
          <w:szCs w:val="32"/>
          <w:lang w:val="en-US" w:eastAsia="zh-CN"/>
        </w:rPr>
        <w:t>委组织部</w:t>
      </w:r>
      <w:r>
        <w:rPr>
          <w:rFonts w:ascii="Times New Roman" w:hAnsi="Times New Roman" w:eastAsia="仿宋_GB2312" w:cs="Times New Roman"/>
          <w:color w:val="auto"/>
          <w:kern w:val="0"/>
          <w:sz w:val="32"/>
          <w:szCs w:val="32"/>
        </w:rPr>
        <w:t>2024年应编制绩效目标的项目共</w:t>
      </w:r>
      <w:r>
        <w:rPr>
          <w:rFonts w:hint="eastAsia" w:ascii="Times New Roman" w:hAnsi="Times New Roman" w:eastAsia="仿宋_GB2312" w:cs="Times New Roman"/>
          <w:color w:val="auto"/>
          <w:kern w:val="0"/>
          <w:sz w:val="32"/>
          <w:szCs w:val="32"/>
          <w:lang w:val="en-US" w:eastAsia="zh-CN"/>
        </w:rPr>
        <w:t>4</w:t>
      </w:r>
      <w:r>
        <w:rPr>
          <w:rFonts w:ascii="Times New Roman" w:hAnsi="Times New Roman" w:eastAsia="仿宋_GB2312" w:cs="Times New Roman"/>
          <w:color w:val="auto"/>
          <w:kern w:val="0"/>
          <w:sz w:val="32"/>
          <w:szCs w:val="32"/>
        </w:rPr>
        <w:t>个，实际编制绩效目标项目共</w:t>
      </w:r>
      <w:r>
        <w:rPr>
          <w:rFonts w:hint="eastAsia" w:ascii="Times New Roman" w:hAnsi="Times New Roman" w:eastAsia="仿宋_GB2312" w:cs="Times New Roman"/>
          <w:color w:val="auto"/>
          <w:kern w:val="0"/>
          <w:sz w:val="32"/>
          <w:szCs w:val="32"/>
          <w:lang w:val="en-US" w:eastAsia="zh-CN"/>
        </w:rPr>
        <w:t>4</w:t>
      </w:r>
      <w:r>
        <w:rPr>
          <w:rFonts w:ascii="Times New Roman" w:hAnsi="Times New Roman" w:eastAsia="仿宋_GB2312" w:cs="Times New Roman"/>
          <w:color w:val="auto"/>
          <w:kern w:val="0"/>
          <w:sz w:val="32"/>
          <w:szCs w:val="32"/>
        </w:rPr>
        <w:t>个，编制绩效目标的项目覆盖率（实际编制绩效目标的项目/应编制绩效目标的项目）为100%，涉及资金</w:t>
      </w:r>
      <w:r>
        <w:rPr>
          <w:rFonts w:hint="eastAsia" w:ascii="Times New Roman" w:hAnsi="Times New Roman" w:eastAsia="仿宋_GB2312" w:cs="Times New Roman"/>
          <w:color w:val="auto"/>
          <w:kern w:val="0"/>
          <w:sz w:val="32"/>
          <w:szCs w:val="32"/>
          <w:lang w:val="en-US" w:eastAsia="zh-CN"/>
        </w:rPr>
        <w:t>394.50</w:t>
      </w:r>
      <w:r>
        <w:rPr>
          <w:rFonts w:ascii="Times New Roman" w:hAnsi="Times New Roman" w:eastAsia="仿宋_GB2312" w:cs="Times New Roman"/>
          <w:color w:val="auto"/>
          <w:kern w:val="0"/>
          <w:sz w:val="32"/>
          <w:szCs w:val="32"/>
        </w:rPr>
        <w:t>万元。</w:t>
      </w:r>
    </w:p>
    <w:p w14:paraId="1D9BBE6A">
      <w:pPr>
        <w:keepLines/>
        <w:rPr>
          <w:rFonts w:ascii="Times New Roman" w:hAnsi="Times New Roman" w:cs="Times New Roman"/>
          <w:color w:val="auto"/>
        </w:rPr>
      </w:pPr>
    </w:p>
    <w:p w14:paraId="4CC3A60D">
      <w:pPr>
        <w:keepLines/>
        <w:rPr>
          <w:rFonts w:ascii="Times New Roman" w:hAnsi="Times New Roman" w:cs="Times New Roman"/>
          <w:color w:val="auto"/>
        </w:rPr>
      </w:pPr>
    </w:p>
    <w:p w14:paraId="7D0277B8">
      <w:pPr>
        <w:keepLines/>
        <w:rPr>
          <w:rFonts w:ascii="Times New Roman" w:hAnsi="Times New Roman" w:cs="Times New Roman"/>
        </w:rPr>
      </w:pPr>
    </w:p>
    <w:p w14:paraId="0DF2F055">
      <w:pPr>
        <w:keepLines/>
        <w:rPr>
          <w:rFonts w:ascii="Times New Roman" w:hAnsi="Times New Roman" w:cs="Times New Roman"/>
        </w:rPr>
      </w:pPr>
    </w:p>
    <w:p w14:paraId="765CBF5E">
      <w:pPr>
        <w:keepLines/>
        <w:rPr>
          <w:rFonts w:ascii="Times New Roman" w:hAnsi="Times New Roman" w:cs="Times New Roman"/>
        </w:rPr>
      </w:pPr>
    </w:p>
    <w:p w14:paraId="3A62E849">
      <w:pPr>
        <w:jc w:val="center"/>
        <w:rPr>
          <w:rFonts w:ascii="Times New Roman" w:hAnsi="Times New Roman" w:cs="Times New Roman"/>
          <w:b/>
          <w:sz w:val="36"/>
          <w:szCs w:val="36"/>
        </w:rPr>
      </w:pPr>
    </w:p>
    <w:p w14:paraId="0CF9596C">
      <w:pPr>
        <w:jc w:val="center"/>
        <w:rPr>
          <w:rFonts w:ascii="Times New Roman" w:hAnsi="Times New Roman" w:cs="Times New Roman"/>
          <w:b/>
          <w:sz w:val="36"/>
          <w:szCs w:val="36"/>
        </w:rPr>
      </w:pPr>
      <w:r>
        <w:rPr>
          <w:rFonts w:ascii="Times New Roman" w:hAnsi="宋体" w:cs="Times New Roman"/>
          <w:b/>
          <w:sz w:val="36"/>
          <w:szCs w:val="36"/>
        </w:rPr>
        <w:t>第四部分</w:t>
      </w:r>
      <w:r>
        <w:rPr>
          <w:rFonts w:ascii="Times New Roman" w:hAnsi="Times New Roman" w:cs="Times New Roman"/>
          <w:b/>
          <w:sz w:val="36"/>
          <w:szCs w:val="36"/>
        </w:rPr>
        <w:t xml:space="preserve"> </w:t>
      </w:r>
      <w:r>
        <w:rPr>
          <w:rFonts w:ascii="Times New Roman" w:hAnsi="宋体" w:cs="Times New Roman"/>
          <w:b/>
          <w:sz w:val="36"/>
          <w:szCs w:val="36"/>
        </w:rPr>
        <w:t>名词解释</w:t>
      </w:r>
    </w:p>
    <w:p w14:paraId="125B4352">
      <w:pPr>
        <w:jc w:val="center"/>
        <w:rPr>
          <w:rFonts w:ascii="Times New Roman" w:hAnsi="Times New Roman" w:eastAsia="黑体" w:cs="Times New Roman"/>
          <w:sz w:val="36"/>
          <w:szCs w:val="36"/>
        </w:rPr>
      </w:pPr>
    </w:p>
    <w:p w14:paraId="15B48404">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1.财政拨款收入：</w:t>
      </w:r>
      <w:r>
        <w:rPr>
          <w:rFonts w:ascii="Times New Roman" w:hAnsi="Times New Roman" w:eastAsia="仿宋_GB2312" w:cs="Times New Roman"/>
          <w:sz w:val="32"/>
          <w:szCs w:val="32"/>
        </w:rPr>
        <w:t>指市级财政当年拨付的资金。</w:t>
      </w:r>
    </w:p>
    <w:p w14:paraId="506F142E">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2.基本支出：</w:t>
      </w:r>
      <w:r>
        <w:rPr>
          <w:rFonts w:ascii="Times New Roman" w:hAnsi="Times New Roman" w:eastAsia="仿宋_GB2312" w:cs="Times New Roman"/>
          <w:sz w:val="32"/>
          <w:szCs w:val="32"/>
        </w:rPr>
        <w:t>指保障机构正常运转、完成日常工作任务而发生的人员支出和公用支出。</w:t>
      </w:r>
    </w:p>
    <w:p w14:paraId="676812C9">
      <w:pPr>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3.项目支出：</w:t>
      </w:r>
      <w:r>
        <w:rPr>
          <w:rFonts w:ascii="Times New Roman" w:hAnsi="Times New Roman" w:eastAsia="仿宋_GB2312" w:cs="Times New Roman"/>
          <w:sz w:val="32"/>
          <w:szCs w:val="32"/>
        </w:rPr>
        <w:t>指在基本支出之外为完成特定行政任务和事业发展目标所发生的支出。</w:t>
      </w:r>
    </w:p>
    <w:p w14:paraId="400E63CA">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rPr>
        <w:t>4.机关运行经费：</w:t>
      </w:r>
      <w:r>
        <w:rPr>
          <w:rFonts w:ascii="Times New Roman" w:hAnsi="Times New Roman" w:eastAsia="仿宋_GB2312"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4CBDB0F">
      <w:pPr>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5.行政事业性收费收入：</w:t>
      </w:r>
      <w:r>
        <w:rPr>
          <w:rFonts w:ascii="Times New Roman" w:hAnsi="Times New Roman" w:eastAsia="仿宋_GB2312" w:cs="Times New Roman"/>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14:paraId="42EA52BA">
      <w:pPr>
        <w:ind w:firstLine="643" w:firstLineChars="200"/>
        <w:jc w:val="left"/>
        <w:rPr>
          <w:rFonts w:ascii="Times New Roman" w:hAnsi="Times New Roman" w:eastAsia="仿宋_GB2312" w:cs="Times New Roman"/>
          <w:b/>
          <w:sz w:val="32"/>
          <w:szCs w:val="32"/>
        </w:rPr>
      </w:pPr>
      <w:bookmarkStart w:id="0" w:name="OLE_LINK1"/>
      <w:r>
        <w:rPr>
          <w:rFonts w:ascii="Times New Roman" w:hAnsi="Times New Roman" w:eastAsia="仿宋_GB2312" w:cs="Times New Roman"/>
          <w:b/>
          <w:sz w:val="32"/>
          <w:szCs w:val="32"/>
        </w:rPr>
        <w:t>6.政府性基金收入</w:t>
      </w:r>
      <w:bookmarkEnd w:id="0"/>
      <w:r>
        <w:rPr>
          <w:rFonts w:ascii="Times New Roman" w:hAnsi="Times New Roman" w:eastAsia="仿宋_GB2312" w:cs="Times New Roman"/>
          <w:b/>
          <w:sz w:val="32"/>
          <w:szCs w:val="32"/>
        </w:rPr>
        <w:t>：</w:t>
      </w:r>
      <w:r>
        <w:rPr>
          <w:rFonts w:ascii="Times New Roman" w:hAnsi="Times New Roman" w:eastAsia="仿宋_GB2312" w:cs="Times New Roman"/>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14:paraId="1FF0797D">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7.其他收入：</w:t>
      </w:r>
      <w:r>
        <w:rPr>
          <w:rFonts w:ascii="Times New Roman" w:hAnsi="Times New Roman" w:eastAsia="仿宋_GB2312" w:cs="Times New Roman"/>
          <w:sz w:val="32"/>
          <w:szCs w:val="32"/>
        </w:rPr>
        <w:t>指除上述“财政拨款收入”、“行政事业性收费收入”、“政府性基金收入”以外的收入。</w:t>
      </w:r>
    </w:p>
    <w:p w14:paraId="6EF0CA4F">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8.“三公”经费</w:t>
      </w:r>
      <w:r>
        <w:rPr>
          <w:rFonts w:ascii="Times New Roman" w:hAnsi="Times New Roman" w:eastAsia="仿宋_GB2312" w:cs="Times New Roman"/>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14:paraId="5EA509EF">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9.一般公共服务（类）财政事务（款）行政运行（项）：</w:t>
      </w:r>
      <w:r>
        <w:rPr>
          <w:rFonts w:ascii="Times New Roman" w:hAnsi="Times New Roman" w:eastAsia="仿宋_GB2312" w:cs="Times New Roman"/>
          <w:sz w:val="32"/>
          <w:szCs w:val="32"/>
        </w:rPr>
        <w:t>反映行政单位（包括实行公务员管理的事业单位）的基本支出。</w:t>
      </w:r>
    </w:p>
    <w:p w14:paraId="3075C025">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10.一般公共服务（类）财政事务（款）事业运行（项）：</w:t>
      </w:r>
      <w:r>
        <w:rPr>
          <w:rFonts w:ascii="Times New Roman" w:hAnsi="Times New Roman" w:eastAsia="仿宋_GB2312" w:cs="Times New Roman"/>
          <w:sz w:val="32"/>
          <w:szCs w:val="32"/>
        </w:rPr>
        <w:t>反映事业单位的基本支出，不包括行政单位（包括实行公务员管理的事业单位）后勤服务中心、医务室等附属事业单位。</w:t>
      </w:r>
    </w:p>
    <w:p w14:paraId="4C18F970">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11.一般公共服务（类）财政事务（款）其他财政事务支出（项）：</w:t>
      </w:r>
      <w:r>
        <w:rPr>
          <w:rFonts w:ascii="Times New Roman" w:hAnsi="Times New Roman" w:eastAsia="仿宋_GB2312" w:cs="Times New Roman"/>
          <w:sz w:val="32"/>
          <w:szCs w:val="32"/>
        </w:rPr>
        <w:t>反映除上述项目以外其他财政事务方面的支出。</w:t>
      </w:r>
    </w:p>
    <w:p w14:paraId="2BD30131">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12.社会保障和就业（类）行政事业单位离退休（款）归口管理的行政单位离退休（项）：</w:t>
      </w:r>
      <w:r>
        <w:rPr>
          <w:rFonts w:ascii="Times New Roman" w:hAnsi="Times New Roman" w:eastAsia="仿宋_GB2312" w:cs="Times New Roman"/>
          <w:sz w:val="32"/>
          <w:szCs w:val="32"/>
        </w:rPr>
        <w:t>反映实行归口管理的行政单位（包括实行公务员管理的事业单位）开支的离退休经费。</w:t>
      </w:r>
    </w:p>
    <w:p w14:paraId="1B72F335">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13.社会保障和就业（类）行政事业单位离退休（款）事业单位离退休（项）：</w:t>
      </w:r>
      <w:r>
        <w:rPr>
          <w:rFonts w:ascii="Times New Roman" w:hAnsi="Times New Roman" w:eastAsia="仿宋_GB2312" w:cs="Times New Roman"/>
          <w:sz w:val="32"/>
          <w:szCs w:val="32"/>
        </w:rPr>
        <w:t>反映实行归口管理的事业单位开支的离退休经费。</w:t>
      </w:r>
    </w:p>
    <w:p w14:paraId="28CA0667">
      <w:pPr>
        <w:ind w:firstLine="643" w:firstLineChars="200"/>
        <w:jc w:val="left"/>
        <w:rPr>
          <w:rFonts w:ascii="Times New Roman" w:hAnsi="Times New Roman" w:cs="Times New Roman"/>
        </w:rPr>
      </w:pPr>
      <w:r>
        <w:rPr>
          <w:rFonts w:ascii="Times New Roman" w:hAnsi="Times New Roman" w:eastAsia="仿宋_GB2312" w:cs="Times New Roman"/>
          <w:b/>
          <w:sz w:val="32"/>
          <w:szCs w:val="32"/>
        </w:rPr>
        <w:t>14.住房保障（类）住房改革（款）住房公积金（项）：</w:t>
      </w:r>
      <w:r>
        <w:rPr>
          <w:rFonts w:ascii="Times New Roman" w:hAnsi="Times New Roman" w:eastAsia="仿宋_GB2312" w:cs="Times New Roman"/>
          <w:sz w:val="32"/>
          <w:szCs w:val="32"/>
        </w:rPr>
        <w:t>反映行政事业单位按人力资源和社会保障部、财政部规定的基本工资和津贴补贴以及规定比例为职工缴纳的住房公积金。</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8064F">
    <w:pPr>
      <w:pStyle w:val="2"/>
      <w:jc w:val="center"/>
    </w:pPr>
  </w:p>
  <w:p w14:paraId="686D114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97200"/>
      <w:docPartObj>
        <w:docPartGallery w:val="AutoText"/>
      </w:docPartObj>
    </w:sdtPr>
    <w:sdtEndPr>
      <w:rPr>
        <w:rFonts w:asciiTheme="majorEastAsia" w:hAnsiTheme="majorEastAsia" w:eastAsiaTheme="majorEastAsia"/>
        <w:sz w:val="28"/>
        <w:szCs w:val="28"/>
      </w:rPr>
    </w:sdtEndPr>
    <w:sdtContent>
      <w:p w14:paraId="44CF8639">
        <w:pPr>
          <w:pStyle w:val="2"/>
          <w:jc w:val="cente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13</w:t>
        </w:r>
        <w:r>
          <w:rPr>
            <w:rFonts w:asciiTheme="majorEastAsia" w:hAnsiTheme="majorEastAsia" w:eastAsiaTheme="majorEastAsia"/>
            <w:sz w:val="28"/>
            <w:szCs w:val="28"/>
          </w:rPr>
          <w:fldChar w:fldCharType="end"/>
        </w:r>
      </w:p>
    </w:sdtContent>
  </w:sdt>
  <w:p w14:paraId="2F48EE54">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7A6F"/>
    <w:rsid w:val="000215EE"/>
    <w:rsid w:val="0004495C"/>
    <w:rsid w:val="00060027"/>
    <w:rsid w:val="000D63D1"/>
    <w:rsid w:val="000E7095"/>
    <w:rsid w:val="00150082"/>
    <w:rsid w:val="001770E9"/>
    <w:rsid w:val="00177A6F"/>
    <w:rsid w:val="0018703D"/>
    <w:rsid w:val="00260BF6"/>
    <w:rsid w:val="002670A8"/>
    <w:rsid w:val="002E321B"/>
    <w:rsid w:val="003177C2"/>
    <w:rsid w:val="003853CB"/>
    <w:rsid w:val="003B3C2A"/>
    <w:rsid w:val="003B543F"/>
    <w:rsid w:val="00467FB6"/>
    <w:rsid w:val="005137CD"/>
    <w:rsid w:val="005E7D42"/>
    <w:rsid w:val="00686DA1"/>
    <w:rsid w:val="006F51B7"/>
    <w:rsid w:val="0072085C"/>
    <w:rsid w:val="007F4D5A"/>
    <w:rsid w:val="00850C86"/>
    <w:rsid w:val="00877433"/>
    <w:rsid w:val="008A3765"/>
    <w:rsid w:val="008B0E94"/>
    <w:rsid w:val="008D6541"/>
    <w:rsid w:val="008D7A97"/>
    <w:rsid w:val="008F3FE7"/>
    <w:rsid w:val="0090712D"/>
    <w:rsid w:val="0091014E"/>
    <w:rsid w:val="009438BD"/>
    <w:rsid w:val="00944BD3"/>
    <w:rsid w:val="00A53B7E"/>
    <w:rsid w:val="00A55F6E"/>
    <w:rsid w:val="00AD603C"/>
    <w:rsid w:val="00B0451C"/>
    <w:rsid w:val="00B16203"/>
    <w:rsid w:val="00B218D5"/>
    <w:rsid w:val="00B47CC8"/>
    <w:rsid w:val="00B62861"/>
    <w:rsid w:val="00BB4C8F"/>
    <w:rsid w:val="00C3232E"/>
    <w:rsid w:val="00C34597"/>
    <w:rsid w:val="00DA2646"/>
    <w:rsid w:val="00E8664C"/>
    <w:rsid w:val="00ED54F7"/>
    <w:rsid w:val="00F27900"/>
    <w:rsid w:val="00F31A53"/>
    <w:rsid w:val="00F31C06"/>
    <w:rsid w:val="00F923E6"/>
    <w:rsid w:val="00FD0EAB"/>
    <w:rsid w:val="00FF5710"/>
    <w:rsid w:val="047F0FEB"/>
    <w:rsid w:val="062067FE"/>
    <w:rsid w:val="0AFD56E2"/>
    <w:rsid w:val="18C620D5"/>
    <w:rsid w:val="18DE4D47"/>
    <w:rsid w:val="35AA386B"/>
    <w:rsid w:val="413652D7"/>
    <w:rsid w:val="45346FDA"/>
    <w:rsid w:val="4F0D2544"/>
    <w:rsid w:val="5B4F263B"/>
    <w:rsid w:val="7F160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870A67-C553-4C99-9A21-A403BB20376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3290</Words>
  <Characters>3373</Characters>
  <Lines>34</Lines>
  <Paragraphs>9</Paragraphs>
  <TotalTime>10</TotalTime>
  <ScaleCrop>false</ScaleCrop>
  <LinksUpToDate>false</LinksUpToDate>
  <CharactersWithSpaces>3386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组织部</cp:lastModifiedBy>
  <dcterms:modified xsi:type="dcterms:W3CDTF">2025-05-08T10:52:11Z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eyJoZGlkIjoiNDZhOGFjZmY4ZmRkMTM2MWFiOGQ0NDM5NzgwMjc3M2UifQ==</vt:lpwstr>
  </property>
  <property fmtid="{D5CDD505-2E9C-101B-9397-08002B2CF9AE}" pid="3" name="KSOProductBuildVer">
    <vt:lpwstr>2052-12.1.0.19302</vt:lpwstr>
  </property>
  <property fmtid="{D5CDD505-2E9C-101B-9397-08002B2CF9AE}" pid="4" name="ICV">
    <vt:lpwstr>9BF671D729C64C90ADAE8ED98F37D8A8_12</vt:lpwstr>
  </property>
</Properties>
</file>