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7B" w:rsidRDefault="0022317B" w:rsidP="001770E9">
      <w:pPr>
        <w:widowControl/>
        <w:shd w:val="clear" w:color="auto" w:fill="FFFFFF"/>
        <w:jc w:val="center"/>
        <w:rPr>
          <w:rFonts w:ascii="宋体" w:eastAsia="宋体" w:hAnsi="宋体" w:cs="宋体" w:hint="eastAsia"/>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D6022A">
        <w:rPr>
          <w:rFonts w:ascii="宋体" w:eastAsia="宋体" w:hAnsi="宋体" w:cs="宋体" w:hint="eastAsia"/>
          <w:b/>
          <w:bCs/>
          <w:color w:val="333333"/>
          <w:kern w:val="0"/>
          <w:sz w:val="53"/>
          <w:szCs w:val="53"/>
        </w:rPr>
        <w:t>财政局</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22317B"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D6022A">
        <w:rPr>
          <w:rFonts w:ascii="宋体" w:eastAsia="宋体" w:hAnsi="宋体" w:cs="宋体" w:hint="eastAsia"/>
          <w:b/>
          <w:bCs/>
          <w:color w:val="333333"/>
          <w:kern w:val="0"/>
          <w:sz w:val="44"/>
          <w:szCs w:val="44"/>
        </w:rPr>
        <w:t>财政局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D6022A">
        <w:rPr>
          <w:rFonts w:ascii="黑体" w:eastAsia="黑体" w:hAnsi="黑体" w:cs="宋体" w:hint="eastAsia"/>
          <w:color w:val="333333"/>
          <w:kern w:val="0"/>
          <w:sz w:val="32"/>
          <w:szCs w:val="32"/>
        </w:rPr>
        <w:t>财政局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D6022A">
        <w:rPr>
          <w:rFonts w:ascii="黑体" w:eastAsia="黑体" w:hAnsi="黑体" w:cs="宋体" w:hint="eastAsia"/>
          <w:color w:val="333333"/>
          <w:kern w:val="0"/>
          <w:sz w:val="32"/>
          <w:szCs w:val="32"/>
        </w:rPr>
        <w:t>财政局</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w:t>
      </w:r>
      <w:proofErr w:type="gramStart"/>
      <w:r w:rsidR="00D6022A">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472EC0" w:rsidRPr="001770E9" w:rsidRDefault="00472EC0"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本溪市溪湖区</w:t>
      </w:r>
      <w:r w:rsidR="00D6022A">
        <w:rPr>
          <w:rFonts w:ascii="宋体" w:eastAsia="宋体" w:hAnsi="宋体" w:cs="宋体" w:hint="eastAsia"/>
          <w:b/>
          <w:bCs/>
          <w:color w:val="333333"/>
          <w:kern w:val="0"/>
          <w:sz w:val="36"/>
          <w:szCs w:val="36"/>
        </w:rPr>
        <w:t>财政局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w:t>
      </w:r>
      <w:proofErr w:type="gramStart"/>
      <w:r w:rsidRPr="003174BC">
        <w:rPr>
          <w:rFonts w:ascii="仿宋_GB2312" w:eastAsia="仿宋_GB2312" w:hAnsi="微软雅黑" w:cs="宋体" w:hint="eastAsia"/>
          <w:color w:val="333333"/>
          <w:kern w:val="0"/>
          <w:sz w:val="32"/>
          <w:szCs w:val="32"/>
        </w:rPr>
        <w:t>一</w:t>
      </w:r>
      <w:proofErr w:type="gramEnd"/>
      <w:r w:rsidRPr="003174BC">
        <w:rPr>
          <w:rFonts w:ascii="仿宋_GB2312" w:eastAsia="仿宋_GB2312" w:hAnsi="微软雅黑" w:cs="宋体" w:hint="eastAsia"/>
          <w:color w:val="333333"/>
          <w:kern w:val="0"/>
          <w:sz w:val="32"/>
          <w:szCs w:val="32"/>
        </w:rPr>
        <w:t>)贯彻执行国家财税方针政策，拟定区财税规划、政策和改革方案并组织实施，分析预测经济形势，参与制定各项宏观经济政策，提出运用财税政策实施宏观调控和综合平衡社会财力的建议，拟定区与街道及企业的分配政策，完善鼓励公益事业发展的财税政策。</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(二)研究我区经济社会中的财税重大问题，围绕区委区政府中心工作提出改进和完善政府管理、提高财政资金使用效益的建议。</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(三)统筹管理区级一般公共预算、政府性基金预算、国有资本经营预算、社会保险基金预算，负责编制区级一般公共预算、政府性基金预算。</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四)承担区级各项财政收支管理的责任，负责编制年度区级预算草案并组织执行，受区政府委托，向区人民代表大会报告区级年度财政预算及其执行情况，向区人大常委会报告财政决算和财政预算执行情况，组织制定经费开支标准、定额，负责审核批复部门(单位)的年度预决算，执行转移支付制度。</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lastRenderedPageBreak/>
        <w:t>(五)</w:t>
      </w:r>
      <w:proofErr w:type="gramStart"/>
      <w:r w:rsidRPr="003174BC">
        <w:rPr>
          <w:rFonts w:ascii="仿宋_GB2312" w:eastAsia="仿宋_GB2312" w:hAnsi="微软雅黑" w:cs="宋体" w:hint="eastAsia"/>
          <w:color w:val="333333"/>
          <w:kern w:val="0"/>
          <w:sz w:val="32"/>
          <w:szCs w:val="32"/>
        </w:rPr>
        <w:t>贯倒执行国家形收</w:t>
      </w:r>
      <w:proofErr w:type="gramEnd"/>
      <w:r w:rsidRPr="003174BC">
        <w:rPr>
          <w:rFonts w:ascii="仿宋_GB2312" w:eastAsia="仿宋_GB2312" w:hAnsi="微软雅黑" w:cs="宋体" w:hint="eastAsia"/>
          <w:color w:val="333333"/>
          <w:kern w:val="0"/>
          <w:sz w:val="32"/>
          <w:szCs w:val="32"/>
        </w:rPr>
        <w:t>法律，行政法规及有关政策，研究制定区管理权限内有关税收改</w:t>
      </w:r>
      <w:proofErr w:type="gramStart"/>
      <w:r w:rsidRPr="003174BC">
        <w:rPr>
          <w:rFonts w:ascii="仿宋_GB2312" w:eastAsia="仿宋_GB2312" w:hAnsi="微软雅黑" w:cs="宋体" w:hint="eastAsia"/>
          <w:color w:val="333333"/>
          <w:kern w:val="0"/>
          <w:sz w:val="32"/>
          <w:szCs w:val="32"/>
        </w:rPr>
        <w:t>靠及种文策</w:t>
      </w:r>
      <w:proofErr w:type="gramEnd"/>
      <w:r w:rsidRPr="003174BC">
        <w:rPr>
          <w:rFonts w:ascii="仿宋_GB2312" w:eastAsia="仿宋_GB2312" w:hAnsi="微软雅黑" w:cs="宋体" w:hint="eastAsia"/>
          <w:color w:val="333333"/>
          <w:kern w:val="0"/>
          <w:sz w:val="32"/>
          <w:szCs w:val="32"/>
        </w:rPr>
        <w:t>调整方案并组织实施，负责政将非税收入管理，按规定管理行政事业性收费、政府性基金及其他非税收入，管理财政票据。</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(六)组织制定区级财政国库管理和国库集中收付制度，指导和监督全区财政国库业务，按规定管理国库现金。</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(七)负责制定政府采购制度，监督管理政府采购活动，组织制定政府向社会力量购买服务制度，监督政府向社会力量购买服务活动。</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八)负责制定区级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建立和完善安全生产资金保障制度，保障我区安全生产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(九)负责办理和监督区财政的经济发展支出、中央和省、市、区政府性投资项目的财政</w:t>
      </w:r>
      <w:proofErr w:type="gramStart"/>
      <w:r w:rsidRPr="003174BC">
        <w:rPr>
          <w:rFonts w:ascii="仿宋_GB2312" w:eastAsia="仿宋_GB2312" w:hAnsi="微软雅黑" w:cs="宋体" w:hint="eastAsia"/>
          <w:color w:val="333333"/>
          <w:kern w:val="0"/>
          <w:sz w:val="32"/>
          <w:szCs w:val="32"/>
        </w:rPr>
        <w:t>拔款</w:t>
      </w:r>
      <w:proofErr w:type="gramEnd"/>
      <w:r w:rsidRPr="003174BC">
        <w:rPr>
          <w:rFonts w:ascii="仿宋_GB2312" w:eastAsia="仿宋_GB2312" w:hAnsi="微软雅黑" w:cs="宋体" w:hint="eastAsia"/>
          <w:color w:val="333333"/>
          <w:kern w:val="0"/>
          <w:sz w:val="32"/>
          <w:szCs w:val="32"/>
        </w:rPr>
        <w:t>，负责政府性投资基本建设财政财务管理，负责有关政策性补贴和专项储备资金财政管理工作，组织审查财政性投资工程预(结)算、竣工决算，承担国家赔偿费用管理工作，负责农业综合开发资金管理工作，负责全区农村综合改革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lastRenderedPageBreak/>
        <w:t>(十)执行全区社会保障资金(基金)的财务管理制度，负责审核区级社会保险基金预决算草案，会同有关部门管理区财政社会保障和就业及医疗卫生与健康支出。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一)贯彻执行国家、省政府、市政府及与政府相关的债务管理政策、制度，拟订全区政府及与政府相关的债务管理制度、办法并组织实施，监督管理全区政府性债务及与政府相关的债务，按规定管理国际金融组织和外国政府贷(赠)款，参与涉外债务谈判。</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(十二)代区政府履行区属国有金融资本出资人职责，负责区属国有金融企业相关管理工作，组织落实财政金融相关政策等。负责农业保险保费补贴资金管理相关工作。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(十三)制定区级会计管理制度并组织实施，监督和规范会计行为。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(十四)监督财税法规、政策的执行情况，反映财政、财务管理中的重大问题，提出加强财政管理的政策建议。加强财政内部控制体系建设，承担会计信息质量检查，依法查处违法违规行为。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(十五)全面实施预算绩效管理，将政府收支预算、部门和单位预算、政策和项目全面纳入绩效管理，构建全方位、全过程、全覆盖的预算绩效管理体系，实现预算和绩效管理一体化。</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(十六)完成区委、区政府交办的其他任务。</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lastRenderedPageBreak/>
        <w:t>第四条溪湖区财政局不设内设机构。</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第五条溪湖区财政局行政编制8名；设局长1名（正科级)，长。 副局长3名（副科级），其中1名兼任区政府国有资产监督管理局局机关工勤人员编制2名。</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第六条 本规定由中共溪湖区委机构编制委员会办公室负责解释，其调整由中共溪湖区委机构编制委员会办公室按规定程序办理。</w:t>
      </w:r>
    </w:p>
    <w:p w:rsidR="001770E9"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第七条 规定自2019年2月18日起实施。</w:t>
      </w:r>
    </w:p>
    <w:p w:rsidR="001770E9" w:rsidRPr="003174BC" w:rsidRDefault="001770E9" w:rsidP="003174BC">
      <w:pPr>
        <w:keepLines/>
        <w:widowControl/>
        <w:shd w:val="clear" w:color="auto" w:fill="FFFFFF"/>
        <w:ind w:firstLine="645"/>
        <w:jc w:val="left"/>
        <w:rPr>
          <w:rFonts w:ascii="黑体" w:eastAsia="黑体" w:hAnsi="黑体" w:cs="宋体"/>
          <w:color w:val="333333"/>
          <w:kern w:val="0"/>
          <w:sz w:val="32"/>
          <w:szCs w:val="32"/>
        </w:rPr>
      </w:pPr>
      <w:r w:rsidRPr="003174BC">
        <w:rPr>
          <w:rFonts w:ascii="黑体" w:eastAsia="黑体" w:hAnsi="黑体" w:cs="宋体" w:hint="eastAsia"/>
          <w:color w:val="333333"/>
          <w:kern w:val="0"/>
          <w:sz w:val="32"/>
          <w:szCs w:val="32"/>
        </w:rPr>
        <w:t>二、机构设置</w:t>
      </w: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D6022A"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（一）</w:t>
      </w:r>
      <w:r w:rsidR="00D6022A" w:rsidRPr="00D6022A">
        <w:rPr>
          <w:rFonts w:ascii="仿宋_GB2312" w:eastAsia="仿宋_GB2312" w:hAnsi="微软雅黑" w:cs="宋体" w:hint="eastAsia"/>
          <w:color w:val="333333"/>
          <w:kern w:val="0"/>
          <w:sz w:val="32"/>
          <w:szCs w:val="32"/>
        </w:rPr>
        <w:t>本溪市溪湖区财政局</w:t>
      </w: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D6022A">
        <w:rPr>
          <w:rFonts w:ascii="宋体" w:eastAsia="宋体" w:hAnsi="宋体" w:cs="宋体" w:hint="eastAsia"/>
          <w:b/>
          <w:bCs/>
          <w:color w:val="333333"/>
          <w:kern w:val="0"/>
          <w:sz w:val="36"/>
          <w:szCs w:val="36"/>
        </w:rPr>
        <w:t>财政局</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D6022A" w:rsidRDefault="001770E9" w:rsidP="00D6022A">
      <w:pPr>
        <w:keepLines/>
        <w:widowControl/>
        <w:shd w:val="clear" w:color="auto" w:fill="FFFFFF"/>
        <w:ind w:firstLine="660"/>
        <w:jc w:val="left"/>
        <w:rPr>
          <w:rFonts w:ascii="仿宋_GB2312" w:eastAsia="仿宋_GB2312" w:hAnsi="微软雅黑" w:cs="宋体"/>
          <w:b/>
          <w:bCs/>
          <w:color w:val="333333"/>
          <w:kern w:val="0"/>
          <w:sz w:val="32"/>
          <w:szCs w:val="32"/>
        </w:rPr>
      </w:pPr>
      <w:r w:rsidRPr="001770E9">
        <w:rPr>
          <w:rFonts w:ascii="仿宋_GB2312" w:eastAsia="仿宋_GB2312" w:hAnsi="微软雅黑" w:cs="宋体" w:hint="eastAsia"/>
          <w:b/>
          <w:bCs/>
          <w:color w:val="333333"/>
          <w:kern w:val="0"/>
          <w:sz w:val="32"/>
          <w:szCs w:val="32"/>
        </w:rPr>
        <w:t>（一）收入预算</w:t>
      </w:r>
      <w:r w:rsidR="00D6022A">
        <w:rPr>
          <w:rFonts w:ascii="仿宋_GB2312" w:eastAsia="仿宋_GB2312" w:hAnsi="微软雅黑" w:cs="宋体" w:hint="eastAsia"/>
          <w:b/>
          <w:bCs/>
          <w:color w:val="333333"/>
          <w:kern w:val="0"/>
          <w:sz w:val="32"/>
          <w:szCs w:val="32"/>
        </w:rPr>
        <w:t>175.36</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D6022A">
        <w:rPr>
          <w:rFonts w:ascii="仿宋_GB2312" w:eastAsia="仿宋_GB2312" w:hAnsi="微软雅黑" w:cs="宋体" w:hint="eastAsia"/>
          <w:color w:val="333333"/>
          <w:kern w:val="0"/>
          <w:sz w:val="32"/>
          <w:szCs w:val="32"/>
        </w:rPr>
        <w:t>175.36</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D6022A">
        <w:rPr>
          <w:rFonts w:ascii="仿宋_GB2312" w:eastAsia="仿宋_GB2312" w:hAnsi="微软雅黑" w:cs="宋体" w:hint="eastAsia"/>
          <w:b/>
          <w:bCs/>
          <w:color w:val="333333"/>
          <w:kern w:val="0"/>
          <w:sz w:val="32"/>
          <w:szCs w:val="32"/>
        </w:rPr>
        <w:t>175.36</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D6022A">
        <w:rPr>
          <w:rFonts w:ascii="仿宋_GB2312" w:eastAsia="仿宋_GB2312" w:hAnsi="微软雅黑" w:cs="宋体" w:hint="eastAsia"/>
          <w:color w:val="333333"/>
          <w:kern w:val="0"/>
          <w:sz w:val="32"/>
          <w:szCs w:val="32"/>
        </w:rPr>
        <w:t>86.06</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D6022A">
        <w:rPr>
          <w:rFonts w:ascii="仿宋_GB2312" w:eastAsia="仿宋_GB2312" w:hAnsi="微软雅黑" w:cs="宋体" w:hint="eastAsia"/>
          <w:color w:val="333333"/>
          <w:kern w:val="0"/>
          <w:sz w:val="32"/>
          <w:szCs w:val="32"/>
        </w:rPr>
        <w:t>89.30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D6022A" w:rsidRPr="00B7541D">
        <w:rPr>
          <w:rFonts w:ascii="仿宋_GB2312" w:eastAsia="仿宋_GB2312" w:hAnsi="微软雅黑" w:cs="宋体" w:hint="eastAsia"/>
          <w:kern w:val="0"/>
          <w:sz w:val="32"/>
          <w:szCs w:val="32"/>
        </w:rPr>
        <w:t>1.61</w:t>
      </w:r>
      <w:r w:rsidRPr="001770E9">
        <w:rPr>
          <w:rFonts w:ascii="仿宋_GB2312" w:eastAsia="仿宋_GB2312" w:hAnsi="微软雅黑" w:cs="宋体" w:hint="eastAsia"/>
          <w:color w:val="333333"/>
          <w:kern w:val="0"/>
          <w:sz w:val="32"/>
          <w:szCs w:val="32"/>
        </w:rPr>
        <w:t>万元，增减变化的主要原因为</w:t>
      </w:r>
      <w:r w:rsidR="00B7541D" w:rsidRPr="00B7541D">
        <w:rPr>
          <w:rFonts w:ascii="仿宋_GB2312" w:eastAsia="仿宋_GB2312" w:hAnsi="微软雅黑" w:cs="宋体" w:hint="eastAsia"/>
          <w:kern w:val="0"/>
          <w:sz w:val="32"/>
          <w:szCs w:val="32"/>
        </w:rPr>
        <w:t>在职在编人员减少，影响人员定额经费支出</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机关运行经费预算为</w:t>
      </w:r>
      <w:r w:rsidR="00D6022A">
        <w:rPr>
          <w:rFonts w:ascii="仿宋_GB2312" w:eastAsia="仿宋_GB2312" w:hAnsi="微软雅黑" w:cs="宋体" w:hint="eastAsia"/>
          <w:color w:val="333333"/>
          <w:kern w:val="0"/>
          <w:sz w:val="32"/>
          <w:szCs w:val="32"/>
        </w:rPr>
        <w:t>17.18</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22317B">
        <w:rPr>
          <w:rFonts w:ascii="仿宋_GB2312" w:eastAsia="仿宋_GB2312" w:hAnsi="微软雅黑" w:cs="宋体" w:hint="eastAsia"/>
          <w:color w:val="333333"/>
          <w:kern w:val="0"/>
          <w:sz w:val="32"/>
          <w:szCs w:val="32"/>
        </w:rPr>
        <w:t>增加</w:t>
      </w:r>
      <w:r w:rsidRPr="00B7541D">
        <w:rPr>
          <w:rFonts w:ascii="仿宋_GB2312" w:eastAsia="仿宋_GB2312" w:hAnsi="微软雅黑" w:cs="宋体" w:hint="eastAsia"/>
          <w:kern w:val="0"/>
          <w:sz w:val="32"/>
          <w:szCs w:val="32"/>
        </w:rPr>
        <w:t>0</w:t>
      </w:r>
      <w:r w:rsidR="0022317B" w:rsidRPr="00B7541D">
        <w:rPr>
          <w:rFonts w:ascii="仿宋_GB2312" w:eastAsia="仿宋_GB2312" w:hAnsi="微软雅黑" w:cs="宋体" w:hint="eastAsia"/>
          <w:kern w:val="0"/>
          <w:sz w:val="32"/>
          <w:szCs w:val="32"/>
        </w:rPr>
        <w:t>.71</w:t>
      </w:r>
      <w:r w:rsidRPr="001770E9">
        <w:rPr>
          <w:rFonts w:ascii="仿宋_GB2312" w:eastAsia="仿宋_GB2312" w:hAnsi="微软雅黑" w:cs="宋体" w:hint="eastAsia"/>
          <w:color w:val="333333"/>
          <w:kern w:val="0"/>
          <w:sz w:val="32"/>
          <w:szCs w:val="32"/>
        </w:rPr>
        <w:t>万元，主要原因是</w:t>
      </w:r>
      <w:r w:rsidR="00B7541D" w:rsidRPr="00B7541D">
        <w:rPr>
          <w:rFonts w:ascii="仿宋_GB2312" w:eastAsia="仿宋_GB2312" w:hAnsi="微软雅黑" w:cs="宋体" w:hint="eastAsia"/>
          <w:kern w:val="0"/>
          <w:sz w:val="32"/>
          <w:szCs w:val="32"/>
        </w:rPr>
        <w:t>在职在编人员减少，影响人员定额经费支出</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安排政府采购预算</w:t>
      </w:r>
      <w:r w:rsidR="00472EC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472EC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一般公共预算安排“三公”经费预算为</w:t>
      </w:r>
      <w:r w:rsidR="00472EC0">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万元，比2020年减少</w:t>
      </w:r>
      <w:r w:rsidR="00472EC0">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472EC0"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1.因公出国（境）费0</w:t>
      </w:r>
      <w:r w:rsidR="00472EC0">
        <w:rPr>
          <w:rFonts w:ascii="仿宋_GB2312" w:eastAsia="仿宋_GB2312" w:hAnsi="微软雅黑" w:cs="宋体" w:hint="eastAsia"/>
          <w:color w:val="333333"/>
          <w:kern w:val="0"/>
          <w:sz w:val="32"/>
          <w:szCs w:val="32"/>
        </w:rPr>
        <w:t>万元，与</w:t>
      </w:r>
      <w:r w:rsidRPr="001770E9">
        <w:rPr>
          <w:rFonts w:ascii="仿宋_GB2312" w:eastAsia="仿宋_GB2312" w:hAnsi="微软雅黑" w:cs="宋体" w:hint="eastAsia"/>
          <w:color w:val="333333"/>
          <w:kern w:val="0"/>
          <w:sz w:val="32"/>
          <w:szCs w:val="32"/>
        </w:rPr>
        <w:t>2020年持平</w:t>
      </w:r>
      <w:r w:rsidR="00472EC0">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472EC0">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万元，比2020年减少</w:t>
      </w:r>
      <w:r w:rsidR="00472EC0">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万元，主要原因是减少1人。</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472EC0">
        <w:rPr>
          <w:rFonts w:ascii="仿宋_GB2312" w:eastAsia="仿宋_GB2312" w:hAnsi="微软雅黑" w:cs="宋体" w:hint="eastAsia"/>
          <w:color w:val="333333"/>
          <w:kern w:val="0"/>
          <w:sz w:val="32"/>
          <w:szCs w:val="32"/>
        </w:rPr>
        <w:t>与</w:t>
      </w:r>
      <w:r w:rsidRPr="001770E9">
        <w:rPr>
          <w:rFonts w:ascii="仿宋_GB2312" w:eastAsia="仿宋_GB2312" w:hAnsi="微软雅黑" w:cs="宋体" w:hint="eastAsia"/>
          <w:color w:val="333333"/>
          <w:kern w:val="0"/>
          <w:sz w:val="32"/>
          <w:szCs w:val="32"/>
        </w:rPr>
        <w:t>2020年持平。</w:t>
      </w:r>
    </w:p>
    <w:p w:rsidR="00B7541D" w:rsidRDefault="00B7541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B7541D" w:rsidRDefault="00B7541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B7541D" w:rsidRPr="001770E9" w:rsidRDefault="00B7541D"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D6022A">
        <w:rPr>
          <w:rFonts w:ascii="仿宋_GB2312" w:eastAsia="仿宋_GB2312" w:hAnsi="微软雅黑" w:cs="宋体" w:hint="eastAsia"/>
          <w:b/>
          <w:bCs/>
          <w:color w:val="333333"/>
          <w:kern w:val="0"/>
          <w:sz w:val="32"/>
          <w:szCs w:val="32"/>
        </w:rPr>
        <w:t>财政局</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472EC0"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472EC0"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0.08</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472EC0"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472EC0"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0.08</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w:t>
      </w:r>
      <w:r w:rsidR="00D06966">
        <w:rPr>
          <w:rFonts w:ascii="仿宋_GB2312" w:eastAsia="仿宋_GB2312" w:hAnsi="微软雅黑" w:cs="宋体" w:hint="eastAsia"/>
          <w:color w:val="333333"/>
          <w:kern w:val="0"/>
          <w:sz w:val="32"/>
          <w:szCs w:val="32"/>
        </w:rPr>
        <w:t>无</w:t>
      </w:r>
      <w:r w:rsidRPr="001770E9">
        <w:rPr>
          <w:rFonts w:ascii="仿宋_GB2312" w:eastAsia="仿宋_GB2312" w:hAnsi="微软雅黑" w:cs="宋体" w:hint="eastAsia"/>
          <w:color w:val="333333"/>
          <w:kern w:val="0"/>
          <w:sz w:val="32"/>
          <w:szCs w:val="32"/>
        </w:rPr>
        <w:t>其他国有资产情况</w:t>
      </w:r>
      <w:r w:rsidR="00D06966">
        <w:rPr>
          <w:rFonts w:ascii="仿宋_GB2312" w:eastAsia="仿宋_GB2312" w:hAnsi="微软雅黑" w:cs="宋体" w:hint="eastAsia"/>
          <w:color w:val="333333"/>
          <w:kern w:val="0"/>
          <w:sz w:val="32"/>
          <w:szCs w:val="32"/>
        </w:rPr>
        <w:t>。</w:t>
      </w:r>
      <w:bookmarkStart w:id="0" w:name="_GoBack"/>
      <w:bookmarkEnd w:id="0"/>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2021年应编制绩效目标的项目共</w:t>
      </w:r>
      <w:r w:rsidR="00472EC0">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个，实际编制绩效目标的项目共</w:t>
      </w:r>
      <w:r w:rsidR="00472EC0">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个，涉及资金</w:t>
      </w:r>
      <w:r w:rsidR="00472EC0">
        <w:rPr>
          <w:rFonts w:ascii="仿宋_GB2312" w:eastAsia="仿宋_GB2312" w:hAnsi="微软雅黑" w:cs="宋体" w:hint="eastAsia"/>
          <w:color w:val="333333"/>
          <w:kern w:val="0"/>
          <w:sz w:val="32"/>
          <w:szCs w:val="32"/>
        </w:rPr>
        <w:t>89.3</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C15525"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472EC0" w:rsidRDefault="00472EC0"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B7541D">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B7541D">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B7541D">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B7541D">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831929">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857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25" w:rsidRDefault="00C15525" w:rsidP="00D6022A">
      <w:r>
        <w:separator/>
      </w:r>
    </w:p>
  </w:endnote>
  <w:endnote w:type="continuationSeparator" w:id="0">
    <w:p w:rsidR="00C15525" w:rsidRDefault="00C15525" w:rsidP="00D6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25" w:rsidRDefault="00C15525" w:rsidP="00D6022A">
      <w:r>
        <w:separator/>
      </w:r>
    </w:p>
  </w:footnote>
  <w:footnote w:type="continuationSeparator" w:id="0">
    <w:p w:rsidR="00C15525" w:rsidRDefault="00C15525" w:rsidP="00D6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C20B5"/>
    <w:rsid w:val="001770E9"/>
    <w:rsid w:val="00177A6F"/>
    <w:rsid w:val="0022317B"/>
    <w:rsid w:val="00240FF5"/>
    <w:rsid w:val="00293FC6"/>
    <w:rsid w:val="003174BC"/>
    <w:rsid w:val="00321B83"/>
    <w:rsid w:val="003C634A"/>
    <w:rsid w:val="00467FB6"/>
    <w:rsid w:val="00472EC0"/>
    <w:rsid w:val="00686DA1"/>
    <w:rsid w:val="00741BF5"/>
    <w:rsid w:val="007F4D5A"/>
    <w:rsid w:val="00805C7C"/>
    <w:rsid w:val="00831929"/>
    <w:rsid w:val="00857711"/>
    <w:rsid w:val="008D7A97"/>
    <w:rsid w:val="00B218D5"/>
    <w:rsid w:val="00B32175"/>
    <w:rsid w:val="00B4069F"/>
    <w:rsid w:val="00B7541D"/>
    <w:rsid w:val="00C15525"/>
    <w:rsid w:val="00D06966"/>
    <w:rsid w:val="00D6022A"/>
    <w:rsid w:val="00E706AF"/>
    <w:rsid w:val="00F27900"/>
    <w:rsid w:val="00F53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D60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022A"/>
    <w:rPr>
      <w:sz w:val="18"/>
      <w:szCs w:val="18"/>
    </w:rPr>
  </w:style>
  <w:style w:type="paragraph" w:styleId="a7">
    <w:name w:val="footer"/>
    <w:basedOn w:val="a"/>
    <w:link w:val="Char0"/>
    <w:uiPriority w:val="99"/>
    <w:unhideWhenUsed/>
    <w:rsid w:val="00D6022A"/>
    <w:pPr>
      <w:tabs>
        <w:tab w:val="center" w:pos="4153"/>
        <w:tab w:val="right" w:pos="8306"/>
      </w:tabs>
      <w:snapToGrid w:val="0"/>
      <w:jc w:val="left"/>
    </w:pPr>
    <w:rPr>
      <w:sz w:val="18"/>
      <w:szCs w:val="18"/>
    </w:rPr>
  </w:style>
  <w:style w:type="character" w:customStyle="1" w:styleId="Char0">
    <w:name w:val="页脚 Char"/>
    <w:basedOn w:val="a0"/>
    <w:link w:val="a7"/>
    <w:uiPriority w:val="99"/>
    <w:rsid w:val="00D602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879</Words>
  <Characters>5015</Characters>
  <Application>Microsoft Office Word</Application>
  <DocSecurity>0</DocSecurity>
  <Lines>41</Lines>
  <Paragraphs>11</Paragraphs>
  <ScaleCrop>false</ScaleCrop>
  <Company>china</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2021-06-10T06:12:00Z</dcterms:created>
  <dcterms:modified xsi:type="dcterms:W3CDTF">2022-09-11T02:18:00Z</dcterms:modified>
</cp:coreProperties>
</file>