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5A51" w:rsidRDefault="002C5A51">
      <w:pPr>
        <w:widowControl/>
        <w:shd w:val="clear" w:color="auto" w:fill="FFFFFF"/>
        <w:jc w:val="center"/>
        <w:rPr>
          <w:rFonts w:ascii="宋体" w:eastAsia="宋体" w:hAnsi="宋体" w:cs="宋体"/>
          <w:b/>
          <w:bCs/>
          <w:color w:val="333333"/>
          <w:kern w:val="0"/>
          <w:sz w:val="53"/>
          <w:szCs w:val="53"/>
        </w:rPr>
      </w:pPr>
    </w:p>
    <w:p w:rsidR="002C5A51" w:rsidRDefault="002C5A51">
      <w:pPr>
        <w:widowControl/>
        <w:shd w:val="clear" w:color="auto" w:fill="FFFFFF"/>
        <w:jc w:val="center"/>
        <w:rPr>
          <w:rFonts w:ascii="宋体" w:eastAsia="宋体" w:hAnsi="宋体" w:cs="宋体"/>
          <w:b/>
          <w:bCs/>
          <w:color w:val="333333"/>
          <w:kern w:val="0"/>
          <w:sz w:val="53"/>
          <w:szCs w:val="53"/>
        </w:rPr>
      </w:pPr>
    </w:p>
    <w:p w:rsidR="002C5A51" w:rsidRDefault="002C5A51">
      <w:pPr>
        <w:widowControl/>
        <w:shd w:val="clear" w:color="auto" w:fill="FFFFFF"/>
        <w:jc w:val="center"/>
        <w:rPr>
          <w:rFonts w:ascii="宋体" w:eastAsia="宋体" w:hAnsi="宋体" w:cs="宋体"/>
          <w:b/>
          <w:bCs/>
          <w:color w:val="333333"/>
          <w:kern w:val="0"/>
          <w:sz w:val="53"/>
          <w:szCs w:val="53"/>
        </w:rPr>
      </w:pPr>
    </w:p>
    <w:p w:rsidR="002C5A51" w:rsidRDefault="002C5A51">
      <w:pPr>
        <w:widowControl/>
        <w:shd w:val="clear" w:color="auto" w:fill="FFFFFF"/>
        <w:jc w:val="center"/>
        <w:rPr>
          <w:rFonts w:ascii="宋体" w:eastAsia="宋体" w:hAnsi="宋体" w:cs="宋体"/>
          <w:b/>
          <w:bCs/>
          <w:color w:val="333333"/>
          <w:kern w:val="0"/>
          <w:sz w:val="53"/>
          <w:szCs w:val="53"/>
        </w:rPr>
      </w:pPr>
    </w:p>
    <w:p w:rsidR="002C5A51" w:rsidRDefault="002C5A51">
      <w:pPr>
        <w:widowControl/>
        <w:shd w:val="clear" w:color="auto" w:fill="FFFFFF"/>
        <w:jc w:val="center"/>
        <w:rPr>
          <w:rFonts w:ascii="宋体" w:eastAsia="宋体" w:hAnsi="宋体" w:cs="宋体"/>
          <w:b/>
          <w:bCs/>
          <w:color w:val="333333"/>
          <w:kern w:val="0"/>
          <w:sz w:val="53"/>
          <w:szCs w:val="53"/>
        </w:rPr>
      </w:pPr>
    </w:p>
    <w:p w:rsidR="002C5A51" w:rsidRDefault="004E03A4">
      <w:pPr>
        <w:widowControl/>
        <w:shd w:val="clear" w:color="auto" w:fill="FFFFFF"/>
        <w:jc w:val="center"/>
        <w:rPr>
          <w:rFonts w:ascii="宋体" w:eastAsia="宋体" w:hAnsi="宋体" w:cs="宋体"/>
          <w:b/>
          <w:bCs/>
          <w:color w:val="333333"/>
          <w:kern w:val="0"/>
          <w:sz w:val="53"/>
          <w:szCs w:val="53"/>
        </w:rPr>
      </w:pPr>
      <w:r>
        <w:rPr>
          <w:rFonts w:ascii="宋体" w:eastAsia="宋体" w:hAnsi="宋体" w:cs="宋体" w:hint="eastAsia"/>
          <w:b/>
          <w:bCs/>
          <w:color w:val="333333"/>
          <w:kern w:val="0"/>
          <w:sz w:val="53"/>
          <w:szCs w:val="53"/>
        </w:rPr>
        <w:t>本溪市溪湖区人力资源</w:t>
      </w:r>
      <w:proofErr w:type="gramStart"/>
      <w:r>
        <w:rPr>
          <w:rFonts w:ascii="宋体" w:eastAsia="宋体" w:hAnsi="宋体" w:cs="宋体" w:hint="eastAsia"/>
          <w:b/>
          <w:bCs/>
          <w:color w:val="333333"/>
          <w:kern w:val="0"/>
          <w:sz w:val="53"/>
          <w:szCs w:val="53"/>
        </w:rPr>
        <w:t>和</w:t>
      </w:r>
      <w:proofErr w:type="gramEnd"/>
    </w:p>
    <w:p w:rsidR="002C5A51" w:rsidRDefault="004E03A4">
      <w:pPr>
        <w:widowControl/>
        <w:shd w:val="clear" w:color="auto" w:fill="FFFFFF"/>
        <w:jc w:val="center"/>
        <w:rPr>
          <w:rFonts w:ascii="微软雅黑" w:eastAsia="微软雅黑" w:hAnsi="微软雅黑" w:cs="宋体"/>
          <w:color w:val="333333"/>
          <w:kern w:val="0"/>
          <w:sz w:val="24"/>
          <w:szCs w:val="24"/>
        </w:rPr>
      </w:pPr>
      <w:r>
        <w:rPr>
          <w:rFonts w:ascii="宋体" w:eastAsia="宋体" w:hAnsi="宋体" w:cs="宋体" w:hint="eastAsia"/>
          <w:b/>
          <w:bCs/>
          <w:color w:val="333333"/>
          <w:kern w:val="0"/>
          <w:sz w:val="53"/>
          <w:szCs w:val="53"/>
        </w:rPr>
        <w:t>社会保障局2021年部门预算</w:t>
      </w:r>
    </w:p>
    <w:p w:rsidR="002C5A51" w:rsidRDefault="002C5A51">
      <w:pPr>
        <w:widowControl/>
        <w:shd w:val="clear" w:color="auto" w:fill="FFFFFF"/>
        <w:jc w:val="center"/>
        <w:rPr>
          <w:rFonts w:ascii="微软雅黑" w:eastAsia="微软雅黑" w:hAnsi="微软雅黑" w:cs="宋体"/>
          <w:color w:val="333333"/>
          <w:kern w:val="0"/>
          <w:sz w:val="24"/>
          <w:szCs w:val="24"/>
        </w:rPr>
      </w:pPr>
    </w:p>
    <w:p w:rsidR="002C5A51" w:rsidRDefault="002C5A51">
      <w:pPr>
        <w:widowControl/>
        <w:shd w:val="clear" w:color="auto" w:fill="FFFFFF"/>
        <w:jc w:val="center"/>
        <w:rPr>
          <w:rFonts w:ascii="微软雅黑" w:eastAsia="微软雅黑" w:hAnsi="微软雅黑" w:cs="宋体"/>
          <w:color w:val="333333"/>
          <w:kern w:val="0"/>
          <w:sz w:val="24"/>
          <w:szCs w:val="24"/>
        </w:rPr>
      </w:pPr>
    </w:p>
    <w:p w:rsidR="002C5A51" w:rsidRDefault="002C5A51">
      <w:pPr>
        <w:widowControl/>
        <w:shd w:val="clear" w:color="auto" w:fill="FFFFFF"/>
        <w:jc w:val="center"/>
        <w:rPr>
          <w:rFonts w:ascii="微软雅黑" w:eastAsia="微软雅黑" w:hAnsi="微软雅黑" w:cs="宋体"/>
          <w:color w:val="333333"/>
          <w:kern w:val="0"/>
          <w:sz w:val="24"/>
          <w:szCs w:val="24"/>
        </w:rPr>
      </w:pPr>
    </w:p>
    <w:p w:rsidR="002C5A51" w:rsidRDefault="002C5A51">
      <w:pPr>
        <w:widowControl/>
        <w:shd w:val="clear" w:color="auto" w:fill="FFFFFF"/>
        <w:jc w:val="center"/>
        <w:rPr>
          <w:rFonts w:ascii="微软雅黑" w:eastAsia="微软雅黑" w:hAnsi="微软雅黑" w:cs="宋体"/>
          <w:color w:val="333333"/>
          <w:kern w:val="0"/>
          <w:sz w:val="24"/>
          <w:szCs w:val="24"/>
        </w:rPr>
      </w:pPr>
    </w:p>
    <w:p w:rsidR="002C5A51" w:rsidRDefault="002C5A51">
      <w:pPr>
        <w:widowControl/>
        <w:shd w:val="clear" w:color="auto" w:fill="FFFFFF"/>
        <w:jc w:val="center"/>
        <w:rPr>
          <w:rFonts w:ascii="微软雅黑" w:eastAsia="微软雅黑" w:hAnsi="微软雅黑" w:cs="宋体"/>
          <w:color w:val="333333"/>
          <w:kern w:val="0"/>
          <w:sz w:val="24"/>
          <w:szCs w:val="24"/>
        </w:rPr>
      </w:pPr>
    </w:p>
    <w:p w:rsidR="002C5A51" w:rsidRDefault="002C5A51">
      <w:pPr>
        <w:widowControl/>
        <w:shd w:val="clear" w:color="auto" w:fill="FFFFFF"/>
        <w:jc w:val="center"/>
        <w:rPr>
          <w:rFonts w:ascii="微软雅黑" w:eastAsia="微软雅黑" w:hAnsi="微软雅黑" w:cs="宋体"/>
          <w:color w:val="333333"/>
          <w:kern w:val="0"/>
          <w:sz w:val="24"/>
          <w:szCs w:val="24"/>
        </w:rPr>
      </w:pPr>
    </w:p>
    <w:p w:rsidR="002C5A51" w:rsidRDefault="002C5A51">
      <w:pPr>
        <w:widowControl/>
        <w:shd w:val="clear" w:color="auto" w:fill="FFFFFF"/>
        <w:jc w:val="center"/>
        <w:rPr>
          <w:rFonts w:ascii="微软雅黑" w:eastAsia="微软雅黑" w:hAnsi="微软雅黑" w:cs="宋体"/>
          <w:color w:val="333333"/>
          <w:kern w:val="0"/>
          <w:sz w:val="24"/>
          <w:szCs w:val="24"/>
        </w:rPr>
      </w:pPr>
    </w:p>
    <w:p w:rsidR="002C5A51" w:rsidRDefault="002C5A51">
      <w:pPr>
        <w:widowControl/>
        <w:shd w:val="clear" w:color="auto" w:fill="FFFFFF"/>
        <w:jc w:val="center"/>
        <w:rPr>
          <w:rFonts w:ascii="微软雅黑" w:eastAsia="微软雅黑" w:hAnsi="微软雅黑" w:cs="宋体"/>
          <w:color w:val="333333"/>
          <w:kern w:val="0"/>
          <w:sz w:val="24"/>
          <w:szCs w:val="24"/>
        </w:rPr>
      </w:pPr>
    </w:p>
    <w:p w:rsidR="002C5A51" w:rsidRDefault="002C5A51">
      <w:pPr>
        <w:widowControl/>
        <w:shd w:val="clear" w:color="auto" w:fill="FFFFFF"/>
        <w:jc w:val="center"/>
        <w:rPr>
          <w:rFonts w:ascii="微软雅黑" w:eastAsia="微软雅黑" w:hAnsi="微软雅黑" w:cs="宋体"/>
          <w:color w:val="333333"/>
          <w:kern w:val="0"/>
          <w:sz w:val="24"/>
          <w:szCs w:val="24"/>
        </w:rPr>
      </w:pPr>
    </w:p>
    <w:p w:rsidR="002C5A51" w:rsidRDefault="002C5A51">
      <w:pPr>
        <w:widowControl/>
        <w:shd w:val="clear" w:color="auto" w:fill="FFFFFF"/>
        <w:jc w:val="center"/>
        <w:rPr>
          <w:rFonts w:ascii="微软雅黑" w:eastAsia="微软雅黑" w:hAnsi="微软雅黑" w:cs="宋体"/>
          <w:color w:val="333333"/>
          <w:kern w:val="0"/>
          <w:sz w:val="24"/>
          <w:szCs w:val="24"/>
        </w:rPr>
      </w:pPr>
    </w:p>
    <w:p w:rsidR="002C5A51" w:rsidRDefault="002C5A51">
      <w:pPr>
        <w:widowControl/>
        <w:shd w:val="clear" w:color="auto" w:fill="FFFFFF"/>
        <w:jc w:val="center"/>
        <w:rPr>
          <w:rFonts w:ascii="微软雅黑" w:eastAsia="微软雅黑" w:hAnsi="微软雅黑" w:cs="宋体"/>
          <w:color w:val="333333"/>
          <w:kern w:val="0"/>
          <w:sz w:val="24"/>
          <w:szCs w:val="24"/>
        </w:rPr>
      </w:pPr>
    </w:p>
    <w:p w:rsidR="002C5A51" w:rsidRDefault="002C5A51">
      <w:pPr>
        <w:widowControl/>
        <w:shd w:val="clear" w:color="auto" w:fill="FFFFFF"/>
        <w:jc w:val="center"/>
        <w:rPr>
          <w:rFonts w:ascii="微软雅黑" w:eastAsia="微软雅黑" w:hAnsi="微软雅黑" w:cs="宋体"/>
          <w:color w:val="333333"/>
          <w:kern w:val="0"/>
          <w:sz w:val="24"/>
          <w:szCs w:val="24"/>
        </w:rPr>
      </w:pPr>
    </w:p>
    <w:p w:rsidR="002C5A51" w:rsidRDefault="004E03A4">
      <w:pPr>
        <w:widowControl/>
        <w:shd w:val="clear" w:color="auto" w:fill="FFFFFF"/>
        <w:jc w:val="center"/>
        <w:rPr>
          <w:rFonts w:ascii="微软雅黑" w:eastAsia="微软雅黑" w:hAnsi="微软雅黑" w:cs="宋体"/>
          <w:color w:val="333333"/>
          <w:kern w:val="0"/>
          <w:sz w:val="24"/>
          <w:szCs w:val="24"/>
        </w:rPr>
      </w:pPr>
      <w:r>
        <w:rPr>
          <w:rFonts w:ascii="宋体" w:eastAsia="宋体" w:hAnsi="宋体" w:cs="宋体" w:hint="eastAsia"/>
          <w:b/>
          <w:bCs/>
          <w:color w:val="333333"/>
          <w:kern w:val="0"/>
          <w:sz w:val="44"/>
          <w:szCs w:val="44"/>
        </w:rPr>
        <w:lastRenderedPageBreak/>
        <w:t>本溪市溪湖区人力资源和社会保障局目录</w:t>
      </w:r>
    </w:p>
    <w:p w:rsidR="002C5A51" w:rsidRDefault="004E03A4">
      <w:pPr>
        <w:widowControl/>
        <w:shd w:val="clear" w:color="auto" w:fill="FFFFFF"/>
        <w:spacing w:line="560" w:lineRule="exact"/>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第一部分 部门预算公开管理文件</w:t>
      </w:r>
    </w:p>
    <w:p w:rsidR="002C5A51" w:rsidRDefault="004E03A4">
      <w:pPr>
        <w:widowControl/>
        <w:shd w:val="clear" w:color="auto" w:fill="FFFFFF"/>
        <w:spacing w:line="560" w:lineRule="exact"/>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第二部分 本溪市溪湖区人力资源和社会保障局概况</w:t>
      </w:r>
    </w:p>
    <w:p w:rsidR="002C5A51" w:rsidRDefault="004E03A4">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一、主要职责</w:t>
      </w:r>
    </w:p>
    <w:p w:rsidR="002C5A51" w:rsidRDefault="004E03A4">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二、机构设置</w:t>
      </w:r>
    </w:p>
    <w:p w:rsidR="002C5A51" w:rsidRDefault="004E03A4">
      <w:pPr>
        <w:widowControl/>
        <w:shd w:val="clear" w:color="auto" w:fill="FFFFFF"/>
        <w:spacing w:line="560" w:lineRule="exact"/>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第三部分 本溪市溪湖区人力资源和社会保障局2021年部门预算情况说明</w:t>
      </w:r>
    </w:p>
    <w:p w:rsidR="002C5A51" w:rsidRDefault="004E03A4">
      <w:pPr>
        <w:widowControl/>
        <w:shd w:val="clear" w:color="auto" w:fill="FFFFFF"/>
        <w:spacing w:line="560" w:lineRule="exact"/>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第四部分 名词解释</w:t>
      </w:r>
    </w:p>
    <w:p w:rsidR="002C5A51" w:rsidRDefault="004E03A4">
      <w:pPr>
        <w:widowControl/>
        <w:shd w:val="clear" w:color="auto" w:fill="FFFFFF"/>
        <w:spacing w:line="560" w:lineRule="exact"/>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第五部分 2021年本溪市溪湖区部门预算批复公开表</w:t>
      </w:r>
    </w:p>
    <w:p w:rsidR="002C5A51" w:rsidRDefault="004E03A4">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一、财政拨款收支预算总表</w:t>
      </w:r>
    </w:p>
    <w:p w:rsidR="002C5A51" w:rsidRDefault="004E03A4">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二、一般公共预算支出表</w:t>
      </w:r>
    </w:p>
    <w:p w:rsidR="002C5A51" w:rsidRDefault="004E03A4">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三、一般公共预算基本支出表</w:t>
      </w:r>
    </w:p>
    <w:p w:rsidR="002C5A51" w:rsidRDefault="004E03A4">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四、一般公共预算“三公”经费支出表</w:t>
      </w:r>
    </w:p>
    <w:p w:rsidR="002C5A51" w:rsidRDefault="004E03A4">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五、政府性基金预算支出表</w:t>
      </w:r>
    </w:p>
    <w:p w:rsidR="002C5A51" w:rsidRDefault="004E03A4">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六、部门收支预算总表</w:t>
      </w:r>
    </w:p>
    <w:p w:rsidR="002C5A51" w:rsidRDefault="004E03A4">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七、部门收入预算总表</w:t>
      </w:r>
    </w:p>
    <w:p w:rsidR="002C5A51" w:rsidRDefault="004E03A4">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八、部门支出预算总表（一）</w:t>
      </w:r>
    </w:p>
    <w:p w:rsidR="002C5A51" w:rsidRDefault="004E03A4">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九、部门支出预算总表（二）</w:t>
      </w:r>
    </w:p>
    <w:p w:rsidR="002C5A51" w:rsidRDefault="004E03A4">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十、项目支出明细表</w:t>
      </w:r>
    </w:p>
    <w:p w:rsidR="002C5A51" w:rsidRDefault="004E03A4">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十一、政府采购计划表</w:t>
      </w:r>
    </w:p>
    <w:p w:rsidR="002C5A51" w:rsidRDefault="004E03A4">
      <w:pPr>
        <w:widowControl/>
        <w:shd w:val="clear" w:color="auto" w:fill="FFFFFF"/>
        <w:spacing w:line="560" w:lineRule="exact"/>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十二、三</w:t>
      </w:r>
      <w:proofErr w:type="gramStart"/>
      <w:r>
        <w:rPr>
          <w:rFonts w:ascii="仿宋_GB2312" w:eastAsia="仿宋_GB2312" w:hAnsi="微软雅黑" w:cs="宋体" w:hint="eastAsia"/>
          <w:color w:val="333333"/>
          <w:kern w:val="0"/>
          <w:sz w:val="32"/>
          <w:szCs w:val="32"/>
        </w:rPr>
        <w:t>公经费</w:t>
      </w:r>
      <w:proofErr w:type="gramEnd"/>
      <w:r>
        <w:rPr>
          <w:rFonts w:ascii="仿宋_GB2312" w:eastAsia="仿宋_GB2312" w:hAnsi="微软雅黑" w:cs="宋体" w:hint="eastAsia"/>
          <w:color w:val="333333"/>
          <w:kern w:val="0"/>
          <w:sz w:val="32"/>
          <w:szCs w:val="32"/>
        </w:rPr>
        <w:t>汇总表</w:t>
      </w:r>
    </w:p>
    <w:p w:rsidR="002C5A51" w:rsidRDefault="004E03A4">
      <w:pPr>
        <w:widowControl/>
        <w:shd w:val="clear" w:color="auto" w:fill="FFFFFF"/>
        <w:spacing w:line="560" w:lineRule="exact"/>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十三、项目绩效目标情况表</w:t>
      </w:r>
    </w:p>
    <w:p w:rsidR="002C5A51" w:rsidRDefault="004E03A4">
      <w:pPr>
        <w:widowControl/>
        <w:shd w:val="clear" w:color="auto" w:fill="FFFFFF"/>
        <w:spacing w:line="560" w:lineRule="exact"/>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十四、政府预算经济分类支出预算表</w:t>
      </w:r>
    </w:p>
    <w:p w:rsidR="002C5A51" w:rsidRDefault="004E03A4">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十五、部门整体绩效目标情况表</w:t>
      </w:r>
    </w:p>
    <w:p w:rsidR="002C5A51" w:rsidRDefault="004E03A4">
      <w:pPr>
        <w:keepLines/>
        <w:widowControl/>
        <w:shd w:val="clear" w:color="auto" w:fill="FFFFFF"/>
        <w:jc w:val="center"/>
        <w:rPr>
          <w:rFonts w:ascii="微软雅黑" w:eastAsia="微软雅黑" w:hAnsi="微软雅黑" w:cs="宋体"/>
          <w:color w:val="333333"/>
          <w:kern w:val="0"/>
          <w:sz w:val="24"/>
          <w:szCs w:val="24"/>
        </w:rPr>
      </w:pPr>
      <w:r>
        <w:rPr>
          <w:rFonts w:ascii="宋体" w:eastAsia="宋体" w:hAnsi="宋体" w:cs="宋体" w:hint="eastAsia"/>
          <w:b/>
          <w:bCs/>
          <w:color w:val="333333"/>
          <w:kern w:val="0"/>
          <w:sz w:val="36"/>
          <w:szCs w:val="36"/>
        </w:rPr>
        <w:lastRenderedPageBreak/>
        <w:t>第一部分 部门预算公开管理文件</w:t>
      </w:r>
    </w:p>
    <w:p w:rsidR="002C5A51" w:rsidRDefault="002C5A51">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p>
    <w:p w:rsidR="002C5A51" w:rsidRDefault="004E03A4">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《关于印发&lt;本溪市财政局部门预决算信息公开管理办法（试行）&gt;的通知》(</w:t>
      </w:r>
      <w:proofErr w:type="gramStart"/>
      <w:r>
        <w:rPr>
          <w:rFonts w:ascii="仿宋_GB2312" w:eastAsia="仿宋_GB2312" w:hAnsi="微软雅黑" w:cs="宋体" w:hint="eastAsia"/>
          <w:color w:val="333333"/>
          <w:kern w:val="0"/>
          <w:sz w:val="32"/>
          <w:szCs w:val="32"/>
        </w:rPr>
        <w:t>本财发</w:t>
      </w:r>
      <w:proofErr w:type="gramEnd"/>
      <w:r>
        <w:rPr>
          <w:rFonts w:ascii="仿宋_GB2312" w:eastAsia="仿宋_GB2312" w:hAnsi="微软雅黑" w:cs="宋体" w:hint="eastAsia"/>
          <w:color w:val="333333"/>
          <w:kern w:val="0"/>
          <w:sz w:val="32"/>
          <w:szCs w:val="32"/>
        </w:rPr>
        <w:t>〔2020〕36号)、本溪市财政</w:t>
      </w:r>
      <w:proofErr w:type="gramStart"/>
      <w:r>
        <w:rPr>
          <w:rFonts w:ascii="仿宋_GB2312" w:eastAsia="仿宋_GB2312" w:hAnsi="微软雅黑" w:cs="宋体" w:hint="eastAsia"/>
          <w:color w:val="333333"/>
          <w:kern w:val="0"/>
          <w:sz w:val="32"/>
          <w:szCs w:val="32"/>
        </w:rPr>
        <w:t>局部门预决算</w:t>
      </w:r>
      <w:proofErr w:type="gramEnd"/>
      <w:r>
        <w:rPr>
          <w:rFonts w:ascii="仿宋_GB2312" w:eastAsia="仿宋_GB2312" w:hAnsi="微软雅黑" w:cs="宋体" w:hint="eastAsia"/>
          <w:color w:val="333333"/>
          <w:kern w:val="0"/>
          <w:sz w:val="32"/>
          <w:szCs w:val="32"/>
        </w:rPr>
        <w:t>信息公开管理办法（试行）</w:t>
      </w:r>
    </w:p>
    <w:p w:rsidR="002C5A51" w:rsidRDefault="004E03A4">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第一条为推进和规范预决算信息公开工作，强化社会监督，促进依法理财，建立透明预算制度，根据《中华人民共和国预算法》和《中华人民共和国政府信息公开条例》等有关规定，结合我局实际，制定本办法。</w:t>
      </w:r>
    </w:p>
    <w:p w:rsidR="002C5A51" w:rsidRDefault="004E03A4">
      <w:pPr>
        <w:keepLines/>
        <w:widowControl/>
        <w:shd w:val="clear" w:color="auto" w:fill="FFFFFF"/>
        <w:spacing w:line="480" w:lineRule="atLeast"/>
        <w:ind w:firstLine="645"/>
        <w:jc w:val="left"/>
        <w:rPr>
          <w:rFonts w:ascii="仿宋" w:eastAsia="仿宋" w:hAnsi="仿宋" w:cs="仿宋"/>
          <w:color w:val="333333"/>
          <w:kern w:val="0"/>
          <w:sz w:val="32"/>
          <w:szCs w:val="32"/>
        </w:rPr>
      </w:pPr>
      <w:r>
        <w:rPr>
          <w:rFonts w:ascii="仿宋_GB2312" w:eastAsia="仿宋_GB2312" w:hAnsi="微软雅黑" w:cs="宋体" w:hint="eastAsia"/>
          <w:color w:val="333333"/>
          <w:kern w:val="0"/>
          <w:sz w:val="32"/>
          <w:szCs w:val="32"/>
        </w:rPr>
        <w:t>第二条本办法适用于本溪市溪湖区</w:t>
      </w:r>
      <w:r>
        <w:rPr>
          <w:rFonts w:ascii="仿宋" w:eastAsia="仿宋" w:hAnsi="仿宋" w:cs="仿宋" w:hint="eastAsia"/>
          <w:color w:val="333333"/>
          <w:kern w:val="0"/>
          <w:sz w:val="32"/>
          <w:szCs w:val="32"/>
        </w:rPr>
        <w:t>人力资源和社会保障局部门预决算信息公开管理。</w:t>
      </w:r>
    </w:p>
    <w:p w:rsidR="002C5A51" w:rsidRDefault="004E03A4">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第三条本办法所称部门预决算信息包括预算收支安排、预算执行、决算数据等。</w:t>
      </w:r>
    </w:p>
    <w:p w:rsidR="002C5A51" w:rsidRDefault="004E03A4">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第四条预决算信息公开的原则：以公开为常态，不公开为例外，依法依规公开预决算。除涉及国家秘密外，不得少公开、不公开应当公开的事项，确保预决算信息公开及时、准确和完整。</w:t>
      </w:r>
    </w:p>
    <w:p w:rsidR="002C5A51" w:rsidRDefault="004E03A4">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第五条财务核算部负责我局部门预决算信息公开工作，履行下列职责：</w:t>
      </w:r>
    </w:p>
    <w:p w:rsidR="002C5A51" w:rsidRDefault="004E03A4">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（一）制定我局部门预决算信息公开的工作方案；</w:t>
      </w:r>
    </w:p>
    <w:p w:rsidR="002C5A51" w:rsidRDefault="004E03A4">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（二）按规定公开我局部门预决算信息；</w:t>
      </w:r>
    </w:p>
    <w:p w:rsidR="002C5A51" w:rsidRDefault="004E03A4">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lastRenderedPageBreak/>
        <w:t>（三）按规定做好公民、法人或者其他组织依申请公开部门预决算信息的答复工作。</w:t>
      </w:r>
    </w:p>
    <w:p w:rsidR="002C5A51" w:rsidRDefault="004E03A4">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第六条部门预决算信息公开内容包括：</w:t>
      </w:r>
    </w:p>
    <w:p w:rsidR="002C5A51" w:rsidRDefault="004E03A4">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（一）部门文件。部门预决算信息公开管理办法。</w:t>
      </w:r>
    </w:p>
    <w:p w:rsidR="002C5A51" w:rsidRDefault="004E03A4">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（二）部门概况。包括部门职责、机构设置、实有人员等情况。</w:t>
      </w:r>
    </w:p>
    <w:p w:rsidR="002C5A51" w:rsidRDefault="004E03A4">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（三）预决算收支情况表。包括部门收支总体情况、财政拨款安排使用情况、“三公”经费财政拨款安排使用情况等。</w:t>
      </w:r>
    </w:p>
    <w:p w:rsidR="002C5A51" w:rsidRDefault="004E03A4">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（四）情况说明。包括预决算年度收支、机关运行经费、政府采购、“三公”经费、国有资产占有使用和项目支出绩效目标等情况说明。</w:t>
      </w:r>
    </w:p>
    <w:p w:rsidR="002C5A51" w:rsidRDefault="004E03A4">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（五）名词解释。对预决算相关专业名词进行解释说明。</w:t>
      </w:r>
    </w:p>
    <w:p w:rsidR="002C5A51" w:rsidRDefault="004E03A4">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第七条部门预决算信息在我局门户网站“财政预决算”专栏公开，并保持长期公开状态，便于社会公众查询监督。</w:t>
      </w:r>
    </w:p>
    <w:p w:rsidR="002C5A51" w:rsidRDefault="004E03A4">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第八条经市财政局批复的部门预决算及报表，应当在批复后20日内公开。</w:t>
      </w:r>
    </w:p>
    <w:p w:rsidR="002C5A51" w:rsidRDefault="004E03A4">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第九条本办法自印发之日起实行。</w:t>
      </w:r>
    </w:p>
    <w:p w:rsidR="002C5A51" w:rsidRDefault="002C5A51">
      <w:pPr>
        <w:keepLines/>
        <w:widowControl/>
        <w:shd w:val="clear" w:color="auto" w:fill="FFFFFF"/>
        <w:jc w:val="center"/>
        <w:rPr>
          <w:rFonts w:ascii="微软雅黑" w:eastAsia="微软雅黑" w:hAnsi="微软雅黑" w:cs="宋体"/>
          <w:color w:val="333333"/>
          <w:kern w:val="0"/>
          <w:sz w:val="24"/>
          <w:szCs w:val="24"/>
        </w:rPr>
      </w:pPr>
    </w:p>
    <w:p w:rsidR="002C5A51" w:rsidRDefault="002C5A51">
      <w:pPr>
        <w:keepLines/>
        <w:widowControl/>
        <w:shd w:val="clear" w:color="auto" w:fill="FFFFFF"/>
        <w:jc w:val="center"/>
        <w:rPr>
          <w:rFonts w:ascii="微软雅黑" w:eastAsia="微软雅黑" w:hAnsi="微软雅黑" w:cs="宋体"/>
          <w:color w:val="333333"/>
          <w:kern w:val="0"/>
          <w:sz w:val="24"/>
          <w:szCs w:val="24"/>
        </w:rPr>
      </w:pPr>
    </w:p>
    <w:p w:rsidR="002C5A51" w:rsidRDefault="002C5A51">
      <w:pPr>
        <w:keepLines/>
        <w:widowControl/>
        <w:shd w:val="clear" w:color="auto" w:fill="FFFFFF"/>
        <w:jc w:val="center"/>
        <w:rPr>
          <w:rFonts w:ascii="微软雅黑" w:eastAsia="微软雅黑" w:hAnsi="微软雅黑" w:cs="宋体"/>
          <w:color w:val="333333"/>
          <w:kern w:val="0"/>
          <w:sz w:val="24"/>
          <w:szCs w:val="24"/>
        </w:rPr>
      </w:pPr>
    </w:p>
    <w:p w:rsidR="002C5A51" w:rsidRDefault="002C5A51">
      <w:pPr>
        <w:keepLines/>
        <w:widowControl/>
        <w:shd w:val="clear" w:color="auto" w:fill="FFFFFF"/>
        <w:jc w:val="center"/>
        <w:rPr>
          <w:rFonts w:ascii="微软雅黑" w:eastAsia="微软雅黑" w:hAnsi="微软雅黑" w:cs="宋体"/>
          <w:color w:val="333333"/>
          <w:kern w:val="0"/>
          <w:sz w:val="24"/>
          <w:szCs w:val="24"/>
        </w:rPr>
      </w:pPr>
    </w:p>
    <w:p w:rsidR="002C5A51" w:rsidRDefault="004E03A4">
      <w:pPr>
        <w:keepLines/>
        <w:widowControl/>
        <w:shd w:val="clear" w:color="auto" w:fill="FFFFFF"/>
        <w:jc w:val="center"/>
        <w:rPr>
          <w:rFonts w:ascii="微软雅黑" w:eastAsia="微软雅黑" w:hAnsi="微软雅黑" w:cs="宋体"/>
          <w:color w:val="333333"/>
          <w:kern w:val="0"/>
          <w:sz w:val="24"/>
          <w:szCs w:val="24"/>
        </w:rPr>
      </w:pPr>
      <w:r>
        <w:rPr>
          <w:rFonts w:ascii="宋体" w:eastAsia="宋体" w:hAnsi="宋体" w:cs="宋体" w:hint="eastAsia"/>
          <w:b/>
          <w:bCs/>
          <w:color w:val="333333"/>
          <w:kern w:val="0"/>
          <w:sz w:val="36"/>
          <w:szCs w:val="36"/>
        </w:rPr>
        <w:lastRenderedPageBreak/>
        <w:t>第二部分 本溪市溪湖区人力资源和社会保障局概况</w:t>
      </w:r>
    </w:p>
    <w:p w:rsidR="002C5A51" w:rsidRDefault="002C5A51">
      <w:pPr>
        <w:keepLines/>
        <w:widowControl/>
        <w:shd w:val="clear" w:color="auto" w:fill="FFFFFF"/>
        <w:ind w:firstLine="645"/>
        <w:jc w:val="left"/>
        <w:rPr>
          <w:rFonts w:ascii="微软雅黑" w:eastAsia="微软雅黑" w:hAnsi="微软雅黑" w:cs="宋体"/>
          <w:color w:val="333333"/>
          <w:kern w:val="0"/>
          <w:sz w:val="24"/>
          <w:szCs w:val="24"/>
        </w:rPr>
      </w:pPr>
    </w:p>
    <w:p w:rsidR="002C5A51" w:rsidRDefault="004E03A4">
      <w:pPr>
        <w:numPr>
          <w:ilvl w:val="0"/>
          <w:numId w:val="1"/>
        </w:numPr>
        <w:ind w:firstLineChars="200" w:firstLine="640"/>
        <w:rPr>
          <w:rFonts w:ascii="黑体" w:eastAsia="黑体" w:hAnsi="黑体" w:cs="宋体"/>
          <w:color w:val="333333"/>
          <w:kern w:val="0"/>
          <w:sz w:val="32"/>
          <w:szCs w:val="32"/>
        </w:rPr>
      </w:pPr>
      <w:r>
        <w:rPr>
          <w:rFonts w:ascii="黑体" w:eastAsia="黑体" w:hAnsi="黑体" w:cs="宋体" w:hint="eastAsia"/>
          <w:color w:val="333333"/>
          <w:kern w:val="0"/>
          <w:sz w:val="32"/>
          <w:szCs w:val="32"/>
        </w:rPr>
        <w:t>部门职责</w:t>
      </w:r>
    </w:p>
    <w:p w:rsidR="002C5A51" w:rsidRDefault="004E03A4">
      <w:pPr>
        <w:ind w:firstLineChars="200" w:firstLine="640"/>
        <w:rPr>
          <w:rFonts w:ascii="仿宋_GB2312" w:eastAsia="仿宋_GB2312" w:hAnsi="黑体"/>
          <w:sz w:val="32"/>
          <w:szCs w:val="32"/>
        </w:rPr>
      </w:pPr>
      <w:r>
        <w:rPr>
          <w:rFonts w:ascii="仿宋_GB2312" w:eastAsia="仿宋_GB2312" w:hAnsi="黑体" w:hint="eastAsia"/>
          <w:sz w:val="32"/>
          <w:szCs w:val="32"/>
        </w:rPr>
        <w:t>（1）在区委和委员会领导下，负责全区各级党委、人大、政府、政协、民主党派、群众团体机关及事业单位管理体制和机构改革、机构编制管理工作。</w:t>
      </w:r>
    </w:p>
    <w:p w:rsidR="002C5A51" w:rsidRDefault="004E03A4">
      <w:pPr>
        <w:ind w:firstLineChars="200" w:firstLine="640"/>
        <w:rPr>
          <w:rFonts w:ascii="仿宋_GB2312" w:eastAsia="仿宋_GB2312" w:hAnsi="黑体"/>
          <w:sz w:val="32"/>
          <w:szCs w:val="32"/>
        </w:rPr>
      </w:pPr>
      <w:r>
        <w:rPr>
          <w:rFonts w:ascii="仿宋_GB2312" w:eastAsia="仿宋_GB2312" w:hAnsi="黑体" w:hint="eastAsia"/>
          <w:sz w:val="32"/>
          <w:szCs w:val="32"/>
        </w:rPr>
        <w:t>（2）贯彻执行中央和省委、市委关于行政体制改革和机构编制管理的方针政策、法律法规,统筹谋划全区行政体制改革,负责党政群机构改革和事业单位改革,指导全区各级行政体制改革和机构编制管理工作。</w:t>
      </w:r>
    </w:p>
    <w:p w:rsidR="002C5A51" w:rsidRDefault="004E03A4">
      <w:pPr>
        <w:ind w:firstLineChars="200" w:firstLine="640"/>
        <w:rPr>
          <w:rFonts w:ascii="仿宋_GB2312" w:eastAsia="仿宋_GB2312" w:hAnsi="黑体"/>
          <w:sz w:val="32"/>
          <w:szCs w:val="32"/>
        </w:rPr>
      </w:pPr>
      <w:r>
        <w:rPr>
          <w:rFonts w:ascii="仿宋_GB2312" w:eastAsia="仿宋_GB2312" w:hAnsi="黑体" w:hint="eastAsia"/>
          <w:sz w:val="32"/>
          <w:szCs w:val="32"/>
        </w:rPr>
        <w:t>（3）负责全区各级机关、事业单位机构编制总量管理和实名制管理,拟订全区各级机关行政编制分配方案和全区事业单位编制总量控制方案。</w:t>
      </w:r>
    </w:p>
    <w:p w:rsidR="002C5A51" w:rsidRDefault="004E03A4">
      <w:pPr>
        <w:ind w:firstLineChars="200" w:firstLine="640"/>
        <w:rPr>
          <w:rFonts w:ascii="仿宋_GB2312" w:eastAsia="仿宋_GB2312" w:hAnsi="黑体"/>
          <w:sz w:val="32"/>
          <w:szCs w:val="32"/>
        </w:rPr>
      </w:pPr>
      <w:r>
        <w:rPr>
          <w:rFonts w:ascii="仿宋_GB2312" w:eastAsia="仿宋_GB2312" w:hAnsi="黑体" w:hint="eastAsia"/>
          <w:sz w:val="32"/>
          <w:szCs w:val="32"/>
        </w:rPr>
        <w:t>（4）拟订区级机关机构改革方案并组织实施，审核区级机关各部门机构改革方案和向市备案工作。</w:t>
      </w:r>
    </w:p>
    <w:p w:rsidR="002C5A51" w:rsidRDefault="004E03A4">
      <w:pPr>
        <w:ind w:firstLineChars="200" w:firstLine="640"/>
        <w:rPr>
          <w:rFonts w:ascii="仿宋_GB2312" w:eastAsia="仿宋_GB2312" w:hAnsi="黑体"/>
          <w:sz w:val="32"/>
          <w:szCs w:val="32"/>
        </w:rPr>
      </w:pPr>
      <w:r>
        <w:rPr>
          <w:rFonts w:ascii="仿宋_GB2312" w:eastAsia="仿宋_GB2312" w:hAnsi="黑体" w:hint="eastAsia"/>
          <w:sz w:val="32"/>
          <w:szCs w:val="32"/>
        </w:rPr>
        <w:t>（5）按照管理权限，负责区级机关机构设置、职责配置、人员编制和领导职数配备的审核和审批,负责区级议事协调机构日常管理,审核乡镇（街道）机构设置，协调区级机关各部门之间以及区级机关各部门与各乡镇（街道）之间职责分工。</w:t>
      </w:r>
    </w:p>
    <w:p w:rsidR="002C5A51" w:rsidRDefault="004E03A4">
      <w:pPr>
        <w:ind w:firstLineChars="200" w:firstLine="640"/>
        <w:rPr>
          <w:rFonts w:ascii="仿宋_GB2312" w:eastAsia="仿宋_GB2312" w:hAnsi="黑体"/>
          <w:sz w:val="32"/>
          <w:szCs w:val="32"/>
        </w:rPr>
      </w:pPr>
      <w:r>
        <w:rPr>
          <w:rFonts w:ascii="仿宋_GB2312" w:eastAsia="仿宋_GB2312" w:hAnsi="黑体" w:hint="eastAsia"/>
          <w:sz w:val="32"/>
          <w:szCs w:val="32"/>
        </w:rPr>
        <w:t>（6）负责区直部门权责清单管理工作。</w:t>
      </w:r>
    </w:p>
    <w:p w:rsidR="002C5A51" w:rsidRDefault="004E03A4">
      <w:pPr>
        <w:ind w:firstLineChars="200" w:firstLine="640"/>
        <w:rPr>
          <w:rFonts w:ascii="仿宋_GB2312" w:eastAsia="仿宋_GB2312" w:hAnsi="黑体"/>
          <w:sz w:val="32"/>
          <w:szCs w:val="32"/>
        </w:rPr>
      </w:pPr>
      <w:r>
        <w:rPr>
          <w:rFonts w:ascii="仿宋_GB2312" w:eastAsia="仿宋_GB2312" w:hAnsi="黑体" w:hint="eastAsia"/>
          <w:sz w:val="32"/>
          <w:szCs w:val="32"/>
        </w:rPr>
        <w:t>（7）拟订区直事业单位机构改革方案并组织实施，推</w:t>
      </w:r>
      <w:r>
        <w:rPr>
          <w:rFonts w:ascii="仿宋_GB2312" w:eastAsia="仿宋_GB2312" w:hAnsi="黑体" w:hint="eastAsia"/>
          <w:sz w:val="32"/>
          <w:szCs w:val="32"/>
        </w:rPr>
        <w:lastRenderedPageBreak/>
        <w:t>进事业单位分类改革,配合行业管理体制改革,推进相关事业单位机构改革。</w:t>
      </w:r>
    </w:p>
    <w:p w:rsidR="002C5A51" w:rsidRDefault="004E03A4">
      <w:pPr>
        <w:ind w:firstLineChars="200" w:firstLine="640"/>
        <w:rPr>
          <w:rFonts w:ascii="仿宋_GB2312" w:eastAsia="仿宋_GB2312" w:hAnsi="黑体"/>
          <w:sz w:val="32"/>
          <w:szCs w:val="32"/>
        </w:rPr>
      </w:pPr>
      <w:r>
        <w:rPr>
          <w:rFonts w:ascii="仿宋_GB2312" w:eastAsia="仿宋_GB2312" w:hAnsi="黑体" w:hint="eastAsia"/>
          <w:sz w:val="32"/>
          <w:szCs w:val="32"/>
        </w:rPr>
        <w:t>（8）按照管理权限，负责区直事业单位机构设置、职能配置、人员编制、领导职数、经费渠道等事项的审核和审批。</w:t>
      </w:r>
    </w:p>
    <w:p w:rsidR="002C5A51" w:rsidRDefault="004E03A4">
      <w:pPr>
        <w:ind w:firstLineChars="200" w:firstLine="640"/>
        <w:rPr>
          <w:rFonts w:ascii="仿宋_GB2312" w:eastAsia="仿宋_GB2312" w:hAnsi="黑体"/>
          <w:sz w:val="32"/>
          <w:szCs w:val="32"/>
        </w:rPr>
      </w:pPr>
      <w:r>
        <w:rPr>
          <w:rFonts w:ascii="仿宋_GB2312" w:eastAsia="仿宋_GB2312" w:hAnsi="黑体" w:hint="eastAsia"/>
          <w:sz w:val="32"/>
          <w:szCs w:val="32"/>
        </w:rPr>
        <w:t>（9）监督检查全区各级机构改革方案和机构编制管理政策、制度执行情况,党政群机构改革、事业机构改革政策落实情况,拟订全区控编减编方案并组织实施,建立机构编制工作考核评估制度,会同有关部门查处机构编制违法违纪行为。</w:t>
      </w:r>
    </w:p>
    <w:p w:rsidR="002C5A51" w:rsidRDefault="004E03A4">
      <w:pPr>
        <w:ind w:firstLineChars="200" w:firstLine="640"/>
        <w:rPr>
          <w:rFonts w:ascii="仿宋_GB2312" w:eastAsia="仿宋_GB2312" w:hAnsi="黑体"/>
          <w:sz w:val="32"/>
          <w:szCs w:val="32"/>
        </w:rPr>
      </w:pPr>
      <w:r>
        <w:rPr>
          <w:rFonts w:ascii="仿宋_GB2312" w:eastAsia="仿宋_GB2312" w:hAnsi="黑体" w:hint="eastAsia"/>
          <w:sz w:val="32"/>
          <w:szCs w:val="32"/>
        </w:rPr>
        <w:t>（10）建立和完善全区事业单位法人登记制度,依法对区直事业单位进行登记管理，承办区直机关统一社会信用代码赋码工作。</w:t>
      </w:r>
    </w:p>
    <w:p w:rsidR="002C5A51" w:rsidRDefault="004E03A4">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黑体" w:hint="eastAsia"/>
          <w:sz w:val="32"/>
          <w:szCs w:val="32"/>
        </w:rPr>
        <w:t>（11）承办区委和区委机构编制委员会交办的其他任务。</w:t>
      </w:r>
    </w:p>
    <w:p w:rsidR="002C5A51" w:rsidRDefault="004E03A4">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 xml:space="preserve"> </w:t>
      </w:r>
    </w:p>
    <w:p w:rsidR="002C5A51" w:rsidRDefault="004E03A4">
      <w:pPr>
        <w:keepLines/>
        <w:widowControl/>
        <w:shd w:val="clear" w:color="auto" w:fill="FFFFFF"/>
        <w:ind w:firstLine="645"/>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二、机构设置</w:t>
      </w:r>
    </w:p>
    <w:p w:rsidR="002C5A51" w:rsidRDefault="004E03A4">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纳入本溪市溪湖区</w:t>
      </w:r>
      <w:r>
        <w:rPr>
          <w:rFonts w:ascii="仿宋" w:eastAsia="仿宋" w:hAnsi="仿宋" w:cs="仿宋" w:hint="eastAsia"/>
          <w:color w:val="333333"/>
          <w:kern w:val="0"/>
          <w:sz w:val="32"/>
          <w:szCs w:val="32"/>
        </w:rPr>
        <w:t>人力资源和社会保障局</w:t>
      </w:r>
      <w:r>
        <w:rPr>
          <w:rFonts w:ascii="仿宋_GB2312" w:eastAsia="仿宋_GB2312" w:hAnsi="微软雅黑" w:cs="宋体" w:hint="eastAsia"/>
          <w:color w:val="333333"/>
          <w:kern w:val="0"/>
          <w:sz w:val="32"/>
          <w:szCs w:val="32"/>
        </w:rPr>
        <w:t>2021年部门预算编制范围的二级预算单位包括：</w:t>
      </w:r>
    </w:p>
    <w:p w:rsidR="002C5A51" w:rsidRDefault="004E03A4">
      <w:pPr>
        <w:jc w:val="left"/>
        <w:rPr>
          <w:rFonts w:ascii="仿宋_GB2312" w:eastAsia="仿宋_GB2312"/>
          <w:sz w:val="32"/>
          <w:szCs w:val="32"/>
        </w:rPr>
      </w:pPr>
      <w:r>
        <w:rPr>
          <w:rFonts w:ascii="仿宋_GB2312" w:eastAsia="仿宋_GB2312" w:hAnsi="微软雅黑" w:cs="宋体" w:hint="eastAsia"/>
          <w:color w:val="333333"/>
          <w:kern w:val="0"/>
          <w:sz w:val="32"/>
          <w:szCs w:val="32"/>
        </w:rPr>
        <w:t>（一）</w:t>
      </w:r>
      <w:r>
        <w:rPr>
          <w:rFonts w:ascii="仿宋_GB2312" w:eastAsia="仿宋_GB2312" w:hint="eastAsia"/>
          <w:sz w:val="32"/>
          <w:szCs w:val="32"/>
        </w:rPr>
        <w:t>本溪市溪湖区人力资源和社会保障局</w:t>
      </w:r>
    </w:p>
    <w:p w:rsidR="002C5A51" w:rsidRDefault="004E03A4">
      <w:pPr>
        <w:keepLines/>
        <w:widowControl/>
        <w:shd w:val="clear" w:color="auto" w:fill="FFFFFF"/>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 xml:space="preserve"> </w:t>
      </w:r>
    </w:p>
    <w:p w:rsidR="002C5A51" w:rsidRDefault="002C5A51">
      <w:pPr>
        <w:keepLines/>
        <w:widowControl/>
        <w:shd w:val="clear" w:color="auto" w:fill="FFFFFF"/>
        <w:ind w:firstLine="645"/>
        <w:jc w:val="left"/>
        <w:rPr>
          <w:rFonts w:ascii="微软雅黑" w:eastAsia="微软雅黑" w:hAnsi="微软雅黑" w:cs="宋体"/>
          <w:color w:val="333333"/>
          <w:kern w:val="0"/>
          <w:sz w:val="24"/>
          <w:szCs w:val="24"/>
        </w:rPr>
      </w:pPr>
    </w:p>
    <w:p w:rsidR="002C5A51" w:rsidRDefault="002C5A51">
      <w:pPr>
        <w:keepLines/>
        <w:widowControl/>
        <w:shd w:val="clear" w:color="auto" w:fill="FFFFFF"/>
        <w:jc w:val="center"/>
        <w:rPr>
          <w:rFonts w:ascii="微软雅黑" w:eastAsia="微软雅黑" w:hAnsi="微软雅黑" w:cs="宋体"/>
          <w:color w:val="333333"/>
          <w:kern w:val="0"/>
          <w:sz w:val="24"/>
          <w:szCs w:val="24"/>
        </w:rPr>
      </w:pPr>
    </w:p>
    <w:p w:rsidR="004E03A4" w:rsidRDefault="004E03A4" w:rsidP="004E03A4">
      <w:pPr>
        <w:keepLines/>
        <w:widowControl/>
        <w:shd w:val="clear" w:color="auto" w:fill="FFFFFF"/>
        <w:jc w:val="center"/>
        <w:rPr>
          <w:rFonts w:ascii="宋体" w:eastAsia="宋体" w:hAnsi="宋体" w:cs="宋体"/>
          <w:b/>
          <w:bCs/>
          <w:color w:val="333333"/>
          <w:kern w:val="0"/>
          <w:sz w:val="36"/>
          <w:szCs w:val="36"/>
        </w:rPr>
      </w:pPr>
      <w:r>
        <w:rPr>
          <w:rFonts w:ascii="宋体" w:eastAsia="宋体" w:hAnsi="宋体" w:cs="宋体" w:hint="eastAsia"/>
          <w:b/>
          <w:bCs/>
          <w:color w:val="333333"/>
          <w:kern w:val="0"/>
          <w:sz w:val="36"/>
          <w:szCs w:val="36"/>
        </w:rPr>
        <w:lastRenderedPageBreak/>
        <w:t>第三部分本溪市溪湖区人力资源和社会保障局</w:t>
      </w:r>
    </w:p>
    <w:p w:rsidR="002C5A51" w:rsidRDefault="004E03A4" w:rsidP="004E03A4">
      <w:pPr>
        <w:keepLines/>
        <w:widowControl/>
        <w:shd w:val="clear" w:color="auto" w:fill="FFFFFF"/>
        <w:jc w:val="center"/>
        <w:rPr>
          <w:rFonts w:ascii="微软雅黑" w:eastAsia="微软雅黑" w:hAnsi="微软雅黑" w:cs="宋体"/>
          <w:color w:val="333333"/>
          <w:kern w:val="0"/>
          <w:sz w:val="24"/>
          <w:szCs w:val="24"/>
        </w:rPr>
      </w:pPr>
      <w:r>
        <w:rPr>
          <w:rFonts w:ascii="宋体" w:eastAsia="宋体" w:hAnsi="宋体" w:cs="宋体" w:hint="eastAsia"/>
          <w:b/>
          <w:bCs/>
          <w:color w:val="333333"/>
          <w:kern w:val="0"/>
          <w:sz w:val="36"/>
          <w:szCs w:val="36"/>
        </w:rPr>
        <w:t>2021年部门预算情况说明</w:t>
      </w:r>
    </w:p>
    <w:p w:rsidR="002C5A51" w:rsidRDefault="002C5A51">
      <w:pPr>
        <w:keepLines/>
        <w:widowControl/>
        <w:shd w:val="clear" w:color="auto" w:fill="FFFFFF"/>
        <w:jc w:val="left"/>
        <w:rPr>
          <w:rFonts w:ascii="微软雅黑" w:eastAsia="微软雅黑" w:hAnsi="微软雅黑" w:cs="宋体"/>
          <w:color w:val="333333"/>
          <w:kern w:val="0"/>
          <w:sz w:val="24"/>
          <w:szCs w:val="24"/>
        </w:rPr>
      </w:pPr>
    </w:p>
    <w:p w:rsidR="002C5A51" w:rsidRDefault="004E03A4">
      <w:pPr>
        <w:keepLines/>
        <w:widowControl/>
        <w:shd w:val="clear" w:color="auto" w:fill="FFFFFF"/>
        <w:ind w:firstLine="630"/>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一、收支预算的总体情况</w:t>
      </w:r>
    </w:p>
    <w:p w:rsidR="002C5A51" w:rsidRDefault="004E03A4">
      <w:pPr>
        <w:keepLines/>
        <w:widowControl/>
        <w:shd w:val="clear" w:color="auto" w:fill="FFFFFF"/>
        <w:ind w:firstLine="660"/>
        <w:jc w:val="left"/>
        <w:rPr>
          <w:rFonts w:ascii="仿宋" w:eastAsia="仿宋" w:hAnsi="仿宋" w:cs="仿宋"/>
          <w:color w:val="333333"/>
          <w:kern w:val="0"/>
          <w:sz w:val="24"/>
          <w:szCs w:val="24"/>
        </w:rPr>
      </w:pPr>
      <w:r>
        <w:rPr>
          <w:rFonts w:ascii="仿宋_GB2312" w:eastAsia="仿宋_GB2312" w:hAnsi="微软雅黑" w:cs="宋体" w:hint="eastAsia"/>
          <w:color w:val="333333"/>
          <w:kern w:val="0"/>
          <w:sz w:val="32"/>
          <w:szCs w:val="32"/>
        </w:rPr>
        <w:t>按照综合预算的原则，本溪市溪湖区</w:t>
      </w:r>
      <w:r>
        <w:rPr>
          <w:rFonts w:ascii="仿宋" w:eastAsia="仿宋" w:hAnsi="仿宋" w:cs="仿宋" w:hint="eastAsia"/>
          <w:color w:val="333333"/>
          <w:kern w:val="0"/>
          <w:sz w:val="32"/>
          <w:szCs w:val="32"/>
        </w:rPr>
        <w:t>人力资源和社会保障局所有收入和支出均纳入部门预算管理。其中：</w:t>
      </w:r>
    </w:p>
    <w:p w:rsidR="002C5A51" w:rsidRDefault="004E03A4">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b/>
          <w:bCs/>
          <w:color w:val="333333"/>
          <w:kern w:val="0"/>
          <w:sz w:val="32"/>
          <w:szCs w:val="32"/>
        </w:rPr>
        <w:t>（一）收入预算949.70万元，</w:t>
      </w:r>
      <w:r>
        <w:rPr>
          <w:rFonts w:ascii="仿宋_GB2312" w:eastAsia="仿宋_GB2312" w:hAnsi="微软雅黑" w:cs="宋体" w:hint="eastAsia"/>
          <w:color w:val="333333"/>
          <w:kern w:val="0"/>
          <w:sz w:val="32"/>
          <w:szCs w:val="32"/>
        </w:rPr>
        <w:t>包括：</w:t>
      </w:r>
    </w:p>
    <w:p w:rsidR="002C5A51" w:rsidRDefault="004E03A4">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1.财政拨款收入949.70万元；</w:t>
      </w:r>
    </w:p>
    <w:p w:rsidR="002C5A51" w:rsidRDefault="004E03A4">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2.纳入预算管理的行政事业性收费等非税收入0万元；</w:t>
      </w:r>
    </w:p>
    <w:p w:rsidR="002C5A51" w:rsidRDefault="004E03A4">
      <w:pPr>
        <w:keepLines/>
        <w:widowControl/>
        <w:shd w:val="clear" w:color="auto" w:fill="FFFFFF"/>
        <w:ind w:firstLine="645"/>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3.纳入预算管理的政府性基金收入0万元；</w:t>
      </w:r>
    </w:p>
    <w:p w:rsidR="002C5A51" w:rsidRDefault="004E03A4">
      <w:pPr>
        <w:keepLines/>
        <w:widowControl/>
        <w:shd w:val="clear" w:color="auto" w:fill="FFFFFF"/>
        <w:ind w:firstLine="645"/>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4.纳入专户管理的行政事业性收费收入0万元；</w:t>
      </w:r>
    </w:p>
    <w:p w:rsidR="002C5A51" w:rsidRDefault="004E03A4">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5.转移性收入0万元。</w:t>
      </w:r>
    </w:p>
    <w:p w:rsidR="002C5A51" w:rsidRDefault="004E03A4">
      <w:pPr>
        <w:keepLines/>
        <w:widowControl/>
        <w:shd w:val="clear" w:color="auto" w:fill="FFFFFF"/>
        <w:ind w:firstLine="645"/>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6.其他收入0万元。</w:t>
      </w:r>
    </w:p>
    <w:p w:rsidR="002C5A51" w:rsidRDefault="004E03A4">
      <w:pPr>
        <w:keepLines/>
        <w:widowControl/>
        <w:shd w:val="clear" w:color="auto" w:fill="FFFFFF"/>
        <w:ind w:firstLineChars="200" w:firstLine="643"/>
        <w:jc w:val="left"/>
        <w:rPr>
          <w:rFonts w:ascii="微软雅黑" w:eastAsia="微软雅黑" w:hAnsi="微软雅黑" w:cs="宋体"/>
          <w:color w:val="333333"/>
          <w:kern w:val="0"/>
          <w:sz w:val="24"/>
          <w:szCs w:val="24"/>
        </w:rPr>
      </w:pPr>
      <w:r>
        <w:rPr>
          <w:rFonts w:ascii="仿宋_GB2312" w:eastAsia="仿宋_GB2312" w:hAnsi="微软雅黑" w:cs="宋体" w:hint="eastAsia"/>
          <w:b/>
          <w:bCs/>
          <w:color w:val="333333"/>
          <w:kern w:val="0"/>
          <w:sz w:val="32"/>
          <w:szCs w:val="32"/>
        </w:rPr>
        <w:t>（二）支出预算949.70万元，</w:t>
      </w:r>
      <w:r>
        <w:rPr>
          <w:rFonts w:ascii="仿宋_GB2312" w:eastAsia="仿宋_GB2312" w:hAnsi="微软雅黑" w:cs="宋体" w:hint="eastAsia"/>
          <w:color w:val="333333"/>
          <w:kern w:val="0"/>
          <w:sz w:val="32"/>
          <w:szCs w:val="32"/>
        </w:rPr>
        <w:t>包括：</w:t>
      </w:r>
    </w:p>
    <w:p w:rsidR="002C5A51" w:rsidRDefault="004E03A4">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1.基本支出60.7万元；</w:t>
      </w:r>
    </w:p>
    <w:p w:rsidR="002C5A51" w:rsidRDefault="004E03A4">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2.项目支出889万元；</w:t>
      </w:r>
    </w:p>
    <w:p w:rsidR="002C5A51" w:rsidRDefault="004E03A4">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2021年预算收支比2020年增加79.22万元，增减变化的主要原因为</w:t>
      </w:r>
      <w:r>
        <w:rPr>
          <w:rFonts w:ascii="仿宋_GB2312" w:eastAsia="仿宋_GB2312" w:hAnsi="宋体" w:hint="eastAsia"/>
          <w:sz w:val="32"/>
          <w:szCs w:val="32"/>
        </w:rPr>
        <w:t>行政单位机构改革，发生部门及人员变更与划转</w:t>
      </w:r>
      <w:r>
        <w:rPr>
          <w:rFonts w:ascii="仿宋_GB2312" w:eastAsia="仿宋_GB2312" w:hAnsi="微软雅黑" w:cs="宋体" w:hint="eastAsia"/>
          <w:color w:val="333333"/>
          <w:kern w:val="0"/>
          <w:sz w:val="32"/>
          <w:szCs w:val="32"/>
        </w:rPr>
        <w:t>。</w:t>
      </w:r>
    </w:p>
    <w:p w:rsidR="002C5A51" w:rsidRDefault="004E03A4">
      <w:pPr>
        <w:keepLines/>
        <w:widowControl/>
        <w:shd w:val="clear" w:color="auto" w:fill="FFFFFF"/>
        <w:ind w:firstLine="660"/>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二、机关运行经费安排情况</w:t>
      </w:r>
    </w:p>
    <w:p w:rsidR="002C5A51" w:rsidRDefault="004E03A4">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lastRenderedPageBreak/>
        <w:t>2021年本溪市溪湖区</w:t>
      </w:r>
      <w:r>
        <w:rPr>
          <w:rFonts w:ascii="仿宋" w:eastAsia="仿宋" w:hAnsi="仿宋" w:cs="仿宋" w:hint="eastAsia"/>
          <w:color w:val="333333"/>
          <w:kern w:val="0"/>
          <w:sz w:val="32"/>
          <w:szCs w:val="32"/>
        </w:rPr>
        <w:t>人力资源和社会保障局</w:t>
      </w:r>
      <w:r>
        <w:rPr>
          <w:rFonts w:ascii="仿宋_GB2312" w:eastAsia="仿宋_GB2312" w:hAnsi="微软雅黑" w:cs="宋体" w:hint="eastAsia"/>
          <w:color w:val="333333"/>
          <w:kern w:val="0"/>
          <w:sz w:val="32"/>
          <w:szCs w:val="32"/>
        </w:rPr>
        <w:t>机关运行经费预算为6.6万元，主要包括办公及印刷费、邮电费、差旅费、会议费、福利费、日常维修费、专用材料及一般设备购置费、办公用房水电费、办公用房取暖费、办公用房物业管理费、公务用车运行维护费以及其他费用。2021年预算比2020年减少0.4万元，主要原因是</w:t>
      </w:r>
      <w:r>
        <w:rPr>
          <w:rFonts w:ascii="仿宋_GB2312" w:eastAsia="仿宋_GB2312" w:hAnsi="宋体" w:hint="eastAsia"/>
          <w:sz w:val="32"/>
          <w:szCs w:val="32"/>
        </w:rPr>
        <w:t>行政单位机构改革，发生部门及人员变更与划转</w:t>
      </w:r>
      <w:r>
        <w:rPr>
          <w:rFonts w:ascii="仿宋_GB2312" w:eastAsia="仿宋_GB2312" w:hAnsi="微软雅黑" w:cs="宋体" w:hint="eastAsia"/>
          <w:color w:val="333333"/>
          <w:kern w:val="0"/>
          <w:sz w:val="32"/>
          <w:szCs w:val="32"/>
        </w:rPr>
        <w:t>。</w:t>
      </w:r>
    </w:p>
    <w:p w:rsidR="002C5A51" w:rsidRDefault="004E03A4">
      <w:pPr>
        <w:keepLines/>
        <w:widowControl/>
        <w:shd w:val="clear" w:color="auto" w:fill="FFFFFF"/>
        <w:ind w:firstLine="660"/>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三、政府采购情况</w:t>
      </w:r>
    </w:p>
    <w:p w:rsidR="002C5A51" w:rsidRDefault="004E03A4">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2021年本溪市溪湖区</w:t>
      </w:r>
      <w:r>
        <w:rPr>
          <w:rFonts w:ascii="仿宋" w:eastAsia="仿宋" w:hAnsi="仿宋" w:cs="仿宋" w:hint="eastAsia"/>
          <w:color w:val="333333"/>
          <w:kern w:val="0"/>
          <w:sz w:val="32"/>
          <w:szCs w:val="32"/>
        </w:rPr>
        <w:t>人力资源和社会保障局</w:t>
      </w:r>
      <w:r>
        <w:rPr>
          <w:rFonts w:ascii="仿宋_GB2312" w:eastAsia="仿宋_GB2312" w:hAnsi="微软雅黑" w:cs="宋体" w:hint="eastAsia"/>
          <w:color w:val="333333"/>
          <w:kern w:val="0"/>
          <w:sz w:val="32"/>
          <w:szCs w:val="32"/>
        </w:rPr>
        <w:t>安排政府采购预算0万元，其中：政府采购货物支出0万元，政府购买服务支出0万元，政府采购工程支出0万元。</w:t>
      </w:r>
    </w:p>
    <w:p w:rsidR="002C5A51" w:rsidRDefault="004E03A4">
      <w:pPr>
        <w:keepLines/>
        <w:widowControl/>
        <w:shd w:val="clear" w:color="auto" w:fill="FFFFFF"/>
        <w:ind w:firstLine="660"/>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四、“三公”经费预算情况</w:t>
      </w:r>
    </w:p>
    <w:p w:rsidR="002C5A51" w:rsidRDefault="004E03A4">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2021年，本溪市溪湖区</w:t>
      </w:r>
      <w:r>
        <w:rPr>
          <w:rFonts w:ascii="仿宋" w:eastAsia="仿宋" w:hAnsi="仿宋" w:cs="仿宋" w:hint="eastAsia"/>
          <w:color w:val="333333"/>
          <w:kern w:val="0"/>
          <w:sz w:val="32"/>
          <w:szCs w:val="32"/>
        </w:rPr>
        <w:t>人力资源和社会保障局</w:t>
      </w:r>
      <w:r>
        <w:rPr>
          <w:rFonts w:ascii="仿宋_GB2312" w:eastAsia="仿宋_GB2312" w:hAnsi="微软雅黑" w:cs="宋体" w:hint="eastAsia"/>
          <w:color w:val="333333"/>
          <w:kern w:val="0"/>
          <w:sz w:val="32"/>
          <w:szCs w:val="32"/>
        </w:rPr>
        <w:t>一般公共预算安排“三公”经费预算为0.06万元，比2020年</w:t>
      </w:r>
      <w:r w:rsidR="007116C1">
        <w:rPr>
          <w:rFonts w:ascii="仿宋_GB2312" w:eastAsia="仿宋_GB2312" w:hAnsi="宋体" w:hint="eastAsia"/>
          <w:sz w:val="32"/>
          <w:szCs w:val="32"/>
        </w:rPr>
        <w:t>持平</w:t>
      </w:r>
      <w:bookmarkStart w:id="0" w:name="_GoBack"/>
      <w:bookmarkEnd w:id="0"/>
      <w:r>
        <w:rPr>
          <w:rFonts w:ascii="仿宋_GB2312" w:eastAsia="仿宋_GB2312" w:hAnsi="微软雅黑" w:cs="宋体" w:hint="eastAsia"/>
          <w:color w:val="333333"/>
          <w:kern w:val="0"/>
          <w:sz w:val="32"/>
          <w:szCs w:val="32"/>
        </w:rPr>
        <w:t>。其中：</w:t>
      </w:r>
    </w:p>
    <w:p w:rsidR="002C5A51" w:rsidRDefault="004E03A4" w:rsidP="004E03A4">
      <w:pPr>
        <w:keepLines/>
        <w:widowControl/>
        <w:shd w:val="clear" w:color="auto" w:fill="FFFFFF"/>
        <w:tabs>
          <w:tab w:val="left" w:pos="312"/>
        </w:tabs>
        <w:ind w:firstLineChars="200" w:firstLine="640"/>
        <w:jc w:val="left"/>
        <w:rPr>
          <w:rFonts w:ascii="仿宋_GB2312" w:eastAsia="仿宋_GB2312" w:hAnsi="宋体"/>
          <w:sz w:val="32"/>
          <w:szCs w:val="32"/>
        </w:rPr>
      </w:pPr>
      <w:r>
        <w:rPr>
          <w:rFonts w:ascii="仿宋_GB2312" w:eastAsia="仿宋_GB2312" w:hAnsi="微软雅黑" w:cs="宋体" w:hint="eastAsia"/>
          <w:color w:val="333333"/>
          <w:kern w:val="0"/>
          <w:sz w:val="32"/>
          <w:szCs w:val="32"/>
        </w:rPr>
        <w:t>1.因公出国（境）费0万元，</w:t>
      </w:r>
      <w:r>
        <w:rPr>
          <w:rFonts w:ascii="仿宋_GB2312" w:eastAsia="仿宋_GB2312" w:hAnsi="宋体" w:hint="eastAsia"/>
          <w:sz w:val="32"/>
          <w:szCs w:val="32"/>
        </w:rPr>
        <w:t>比2020年持平。</w:t>
      </w:r>
    </w:p>
    <w:p w:rsidR="004E03A4" w:rsidRPr="004E03A4" w:rsidRDefault="004E03A4" w:rsidP="004E03A4">
      <w:pPr>
        <w:keepLines/>
        <w:widowControl/>
        <w:shd w:val="clear" w:color="auto" w:fill="FFFFFF"/>
        <w:tabs>
          <w:tab w:val="left" w:pos="312"/>
        </w:tabs>
        <w:ind w:firstLineChars="200" w:firstLine="640"/>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2.</w:t>
      </w:r>
      <w:r w:rsidRPr="004E03A4">
        <w:rPr>
          <w:rFonts w:ascii="仿宋_GB2312" w:eastAsia="仿宋_GB2312" w:hAnsi="微软雅黑" w:cs="宋体" w:hint="eastAsia"/>
          <w:color w:val="333333"/>
          <w:kern w:val="0"/>
          <w:sz w:val="32"/>
          <w:szCs w:val="32"/>
        </w:rPr>
        <w:t>公务接待费0.06万元，比2020年</w:t>
      </w:r>
      <w:r w:rsidR="007116C1">
        <w:rPr>
          <w:rFonts w:ascii="仿宋_GB2312" w:eastAsia="仿宋_GB2312" w:hAnsi="宋体" w:hint="eastAsia"/>
          <w:sz w:val="32"/>
          <w:szCs w:val="32"/>
        </w:rPr>
        <w:t>持平</w:t>
      </w:r>
      <w:r w:rsidRPr="004E03A4">
        <w:rPr>
          <w:rFonts w:ascii="仿宋_GB2312" w:eastAsia="仿宋_GB2312" w:hAnsi="微软雅黑" w:cs="宋体" w:hint="eastAsia"/>
          <w:color w:val="333333"/>
          <w:kern w:val="0"/>
          <w:sz w:val="32"/>
          <w:szCs w:val="32"/>
        </w:rPr>
        <w:t>。</w:t>
      </w:r>
    </w:p>
    <w:p w:rsidR="002C5A51" w:rsidRPr="004E03A4" w:rsidRDefault="004E03A4" w:rsidP="004E03A4">
      <w:pPr>
        <w:keepLines/>
        <w:widowControl/>
        <w:shd w:val="clear" w:color="auto" w:fill="FFFFFF"/>
        <w:tabs>
          <w:tab w:val="left" w:pos="312"/>
        </w:tabs>
        <w:ind w:firstLineChars="200" w:firstLine="640"/>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3.</w:t>
      </w:r>
      <w:r w:rsidRPr="004E03A4">
        <w:rPr>
          <w:rFonts w:ascii="仿宋_GB2312" w:eastAsia="仿宋_GB2312" w:hAnsi="微软雅黑" w:cs="宋体" w:hint="eastAsia"/>
          <w:color w:val="333333"/>
          <w:kern w:val="0"/>
          <w:sz w:val="32"/>
          <w:szCs w:val="32"/>
        </w:rPr>
        <w:t>公务用车购置及运行费0万元，比2020年持平。</w:t>
      </w:r>
    </w:p>
    <w:p w:rsidR="004E03A4" w:rsidRDefault="004E03A4" w:rsidP="004E03A4">
      <w:pPr>
        <w:keepLines/>
        <w:widowControl/>
        <w:shd w:val="clear" w:color="auto" w:fill="FFFFFF"/>
        <w:jc w:val="left"/>
        <w:rPr>
          <w:rFonts w:ascii="微软雅黑" w:eastAsia="仿宋_GB2312" w:hAnsi="微软雅黑" w:cs="宋体"/>
          <w:color w:val="333333"/>
          <w:kern w:val="0"/>
          <w:sz w:val="24"/>
          <w:szCs w:val="24"/>
        </w:rPr>
      </w:pPr>
    </w:p>
    <w:p w:rsidR="004E03A4" w:rsidRDefault="004E03A4" w:rsidP="004E03A4">
      <w:pPr>
        <w:keepLines/>
        <w:widowControl/>
        <w:shd w:val="clear" w:color="auto" w:fill="FFFFFF"/>
        <w:jc w:val="left"/>
        <w:rPr>
          <w:rFonts w:ascii="微软雅黑" w:eastAsia="仿宋_GB2312" w:hAnsi="微软雅黑" w:cs="宋体"/>
          <w:color w:val="333333"/>
          <w:kern w:val="0"/>
          <w:sz w:val="24"/>
          <w:szCs w:val="24"/>
        </w:rPr>
      </w:pPr>
    </w:p>
    <w:p w:rsidR="004E03A4" w:rsidRPr="004E03A4" w:rsidRDefault="004E03A4" w:rsidP="004E03A4">
      <w:pPr>
        <w:keepLines/>
        <w:widowControl/>
        <w:shd w:val="clear" w:color="auto" w:fill="FFFFFF"/>
        <w:jc w:val="left"/>
        <w:rPr>
          <w:rFonts w:ascii="微软雅黑" w:eastAsia="仿宋_GB2312" w:hAnsi="微软雅黑" w:cs="宋体"/>
          <w:color w:val="333333"/>
          <w:kern w:val="0"/>
          <w:sz w:val="24"/>
          <w:szCs w:val="24"/>
        </w:rPr>
      </w:pPr>
    </w:p>
    <w:p w:rsidR="002C5A51" w:rsidRDefault="004E03A4">
      <w:pPr>
        <w:keepLines/>
        <w:widowControl/>
        <w:shd w:val="clear" w:color="auto" w:fill="FFFFFF"/>
        <w:jc w:val="center"/>
        <w:rPr>
          <w:rFonts w:ascii="微软雅黑" w:eastAsia="微软雅黑" w:hAnsi="微软雅黑" w:cs="宋体"/>
          <w:color w:val="333333"/>
          <w:kern w:val="0"/>
          <w:sz w:val="24"/>
          <w:szCs w:val="24"/>
        </w:rPr>
      </w:pPr>
      <w:r>
        <w:rPr>
          <w:rFonts w:ascii="仿宋_GB2312" w:eastAsia="仿宋_GB2312" w:hAnsi="微软雅黑" w:cs="宋体" w:hint="eastAsia"/>
          <w:b/>
          <w:bCs/>
          <w:color w:val="333333"/>
          <w:kern w:val="0"/>
          <w:sz w:val="32"/>
          <w:szCs w:val="32"/>
        </w:rPr>
        <w:lastRenderedPageBreak/>
        <w:t>2021年本溪市溪湖区</w:t>
      </w:r>
      <w:r>
        <w:rPr>
          <w:rFonts w:ascii="仿宋" w:eastAsia="仿宋" w:hAnsi="仿宋" w:cs="仿宋" w:hint="eastAsia"/>
          <w:b/>
          <w:bCs/>
          <w:color w:val="333333"/>
          <w:kern w:val="0"/>
          <w:sz w:val="32"/>
          <w:szCs w:val="32"/>
        </w:rPr>
        <w:t>人力资源和社会保障局</w:t>
      </w:r>
      <w:r>
        <w:rPr>
          <w:rFonts w:ascii="仿宋_GB2312" w:eastAsia="仿宋_GB2312" w:hAnsi="微软雅黑" w:cs="宋体" w:hint="eastAsia"/>
          <w:b/>
          <w:bCs/>
          <w:color w:val="333333"/>
          <w:kern w:val="0"/>
          <w:sz w:val="32"/>
          <w:szCs w:val="32"/>
        </w:rPr>
        <w:t>“三公”经费预算表</w:t>
      </w:r>
    </w:p>
    <w:p w:rsidR="002C5A51" w:rsidRDefault="004E03A4">
      <w:pPr>
        <w:keepLines/>
        <w:widowControl/>
        <w:shd w:val="clear" w:color="auto" w:fill="FFFFFF"/>
        <w:jc w:val="center"/>
        <w:rPr>
          <w:rFonts w:ascii="微软雅黑" w:eastAsia="微软雅黑" w:hAnsi="微软雅黑" w:cs="宋体"/>
          <w:color w:val="333333"/>
          <w:kern w:val="0"/>
          <w:sz w:val="24"/>
          <w:szCs w:val="24"/>
        </w:rPr>
      </w:pPr>
      <w:r>
        <w:rPr>
          <w:rFonts w:ascii="仿宋_GB2312" w:eastAsia="仿宋_GB2312" w:hAnsi="微软雅黑" w:cs="宋体" w:hint="eastAsia"/>
          <w:b/>
          <w:bCs/>
          <w:color w:val="333333"/>
          <w:kern w:val="0"/>
          <w:sz w:val="29"/>
          <w:szCs w:val="29"/>
        </w:rPr>
        <w:t>单位：万元</w:t>
      </w:r>
    </w:p>
    <w:tbl>
      <w:tblPr>
        <w:tblW w:w="8625" w:type="dxa"/>
        <w:tblCellMar>
          <w:left w:w="0" w:type="dxa"/>
          <w:right w:w="0" w:type="dxa"/>
        </w:tblCellMar>
        <w:tblLook w:val="04A0" w:firstRow="1" w:lastRow="0" w:firstColumn="1" w:lastColumn="0" w:noHBand="0" w:noVBand="1"/>
      </w:tblPr>
      <w:tblGrid>
        <w:gridCol w:w="4125"/>
        <w:gridCol w:w="2145"/>
        <w:gridCol w:w="2355"/>
      </w:tblGrid>
      <w:tr w:rsidR="002C5A51">
        <w:trPr>
          <w:trHeight w:val="480"/>
        </w:trPr>
        <w:tc>
          <w:tcPr>
            <w:tcW w:w="412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2C5A51" w:rsidRDefault="004E03A4">
            <w:pPr>
              <w:keepLines/>
              <w:widowControl/>
              <w:jc w:val="center"/>
              <w:textAlignment w:val="center"/>
              <w:rPr>
                <w:rFonts w:ascii="宋体" w:eastAsia="宋体" w:hAnsi="宋体" w:cs="宋体"/>
                <w:kern w:val="0"/>
                <w:sz w:val="24"/>
                <w:szCs w:val="24"/>
              </w:rPr>
            </w:pPr>
            <w:r>
              <w:rPr>
                <w:rFonts w:ascii="宋体" w:eastAsia="宋体" w:hAnsi="宋体" w:cs="宋体" w:hint="eastAsia"/>
                <w:b/>
                <w:bCs/>
                <w:kern w:val="0"/>
                <w:sz w:val="24"/>
                <w:szCs w:val="24"/>
              </w:rPr>
              <w:t>项目</w:t>
            </w:r>
          </w:p>
        </w:tc>
        <w:tc>
          <w:tcPr>
            <w:tcW w:w="4500" w:type="dxa"/>
            <w:gridSpan w:val="2"/>
            <w:tcBorders>
              <w:top w:val="single" w:sz="6" w:space="0" w:color="000000"/>
              <w:left w:val="nil"/>
              <w:bottom w:val="single" w:sz="6" w:space="0" w:color="DDDDDD"/>
              <w:right w:val="single" w:sz="6" w:space="0" w:color="000000"/>
            </w:tcBorders>
            <w:tcMar>
              <w:top w:w="15" w:type="dxa"/>
              <w:left w:w="15" w:type="dxa"/>
              <w:bottom w:w="15" w:type="dxa"/>
              <w:right w:w="15" w:type="dxa"/>
            </w:tcMar>
            <w:vAlign w:val="center"/>
          </w:tcPr>
          <w:p w:rsidR="002C5A51" w:rsidRDefault="004E03A4">
            <w:pPr>
              <w:keepLines/>
              <w:widowControl/>
              <w:jc w:val="center"/>
              <w:rPr>
                <w:rFonts w:ascii="宋体" w:eastAsia="宋体" w:hAnsi="宋体" w:cs="宋体"/>
                <w:kern w:val="0"/>
                <w:sz w:val="24"/>
                <w:szCs w:val="24"/>
              </w:rPr>
            </w:pPr>
            <w:r>
              <w:rPr>
                <w:rFonts w:ascii="宋体" w:eastAsia="宋体" w:hAnsi="宋体" w:cs="宋体" w:hint="eastAsia"/>
                <w:b/>
                <w:bCs/>
                <w:kern w:val="0"/>
                <w:sz w:val="24"/>
                <w:szCs w:val="24"/>
              </w:rPr>
              <w:t>金额</w:t>
            </w:r>
          </w:p>
        </w:tc>
      </w:tr>
      <w:tr w:rsidR="002C5A51">
        <w:trPr>
          <w:trHeight w:val="510"/>
        </w:trPr>
        <w:tc>
          <w:tcPr>
            <w:tcW w:w="4125" w:type="dxa"/>
            <w:vMerge/>
            <w:tcBorders>
              <w:top w:val="single" w:sz="6" w:space="0" w:color="000000"/>
              <w:left w:val="single" w:sz="6" w:space="0" w:color="000000"/>
              <w:bottom w:val="single" w:sz="6" w:space="0" w:color="000000"/>
              <w:right w:val="single" w:sz="6" w:space="0" w:color="000000"/>
            </w:tcBorders>
            <w:vAlign w:val="center"/>
          </w:tcPr>
          <w:p w:rsidR="002C5A51" w:rsidRDefault="002C5A51">
            <w:pPr>
              <w:keepLines/>
              <w:widowControl/>
              <w:jc w:val="left"/>
              <w:rPr>
                <w:rFonts w:ascii="宋体" w:eastAsia="宋体" w:hAnsi="宋体" w:cs="宋体"/>
                <w:kern w:val="0"/>
                <w:sz w:val="24"/>
                <w:szCs w:val="24"/>
              </w:rPr>
            </w:pPr>
          </w:p>
        </w:tc>
        <w:tc>
          <w:tcPr>
            <w:tcW w:w="2145" w:type="dxa"/>
            <w:tcBorders>
              <w:top w:val="single" w:sz="6" w:space="0" w:color="000000"/>
              <w:left w:val="nil"/>
              <w:bottom w:val="single" w:sz="6" w:space="0" w:color="000000"/>
              <w:right w:val="single" w:sz="6" w:space="0" w:color="000000"/>
            </w:tcBorders>
            <w:tcMar>
              <w:top w:w="15" w:type="dxa"/>
              <w:left w:w="15" w:type="dxa"/>
              <w:bottom w:w="15" w:type="dxa"/>
              <w:right w:w="15" w:type="dxa"/>
            </w:tcMar>
            <w:vAlign w:val="center"/>
          </w:tcPr>
          <w:p w:rsidR="002C5A51" w:rsidRDefault="004E03A4">
            <w:pPr>
              <w:keepLines/>
              <w:widowControl/>
              <w:jc w:val="center"/>
              <w:textAlignment w:val="center"/>
              <w:rPr>
                <w:rFonts w:ascii="宋体" w:eastAsia="宋体" w:hAnsi="宋体" w:cs="宋体"/>
                <w:kern w:val="0"/>
                <w:sz w:val="24"/>
                <w:szCs w:val="24"/>
              </w:rPr>
            </w:pPr>
            <w:r>
              <w:rPr>
                <w:rFonts w:ascii="宋体" w:eastAsia="宋体" w:hAnsi="宋体" w:cs="宋体" w:hint="eastAsia"/>
                <w:b/>
                <w:bCs/>
                <w:kern w:val="0"/>
                <w:sz w:val="24"/>
                <w:szCs w:val="24"/>
              </w:rPr>
              <w:t>2020年</w:t>
            </w:r>
          </w:p>
        </w:tc>
        <w:tc>
          <w:tcPr>
            <w:tcW w:w="2355" w:type="dxa"/>
            <w:tcBorders>
              <w:top w:val="single" w:sz="6" w:space="0" w:color="000000"/>
              <w:left w:val="nil"/>
              <w:bottom w:val="single" w:sz="6" w:space="0" w:color="000000"/>
              <w:right w:val="single" w:sz="6" w:space="0" w:color="000000"/>
            </w:tcBorders>
            <w:tcMar>
              <w:top w:w="15" w:type="dxa"/>
              <w:left w:w="15" w:type="dxa"/>
              <w:bottom w:w="15" w:type="dxa"/>
              <w:right w:w="15" w:type="dxa"/>
            </w:tcMar>
            <w:vAlign w:val="center"/>
          </w:tcPr>
          <w:p w:rsidR="002C5A51" w:rsidRDefault="004E03A4">
            <w:pPr>
              <w:keepLines/>
              <w:widowControl/>
              <w:jc w:val="center"/>
              <w:textAlignment w:val="center"/>
              <w:rPr>
                <w:rFonts w:ascii="宋体" w:eastAsia="宋体" w:hAnsi="宋体" w:cs="宋体"/>
                <w:kern w:val="0"/>
                <w:sz w:val="24"/>
                <w:szCs w:val="24"/>
              </w:rPr>
            </w:pPr>
            <w:r>
              <w:rPr>
                <w:rFonts w:ascii="宋体" w:eastAsia="宋体" w:hAnsi="宋体" w:cs="宋体" w:hint="eastAsia"/>
                <w:b/>
                <w:bCs/>
                <w:kern w:val="0"/>
                <w:sz w:val="24"/>
                <w:szCs w:val="24"/>
              </w:rPr>
              <w:t>2021年</w:t>
            </w:r>
          </w:p>
        </w:tc>
      </w:tr>
      <w:tr w:rsidR="002C5A51">
        <w:trPr>
          <w:trHeight w:val="540"/>
        </w:trPr>
        <w:tc>
          <w:tcPr>
            <w:tcW w:w="4125" w:type="dxa"/>
            <w:tcBorders>
              <w:top w:val="nil"/>
              <w:left w:val="single" w:sz="6" w:space="0" w:color="000000"/>
              <w:bottom w:val="single" w:sz="6" w:space="0" w:color="000000"/>
              <w:right w:val="single" w:sz="6" w:space="0" w:color="000000"/>
            </w:tcBorders>
            <w:tcMar>
              <w:top w:w="15" w:type="dxa"/>
              <w:left w:w="15" w:type="dxa"/>
              <w:bottom w:w="15" w:type="dxa"/>
              <w:right w:w="15" w:type="dxa"/>
            </w:tcMar>
            <w:vAlign w:val="center"/>
          </w:tcPr>
          <w:p w:rsidR="002C5A51" w:rsidRDefault="004E03A4">
            <w:pPr>
              <w:keepLines/>
              <w:widowControl/>
              <w:jc w:val="center"/>
              <w:textAlignment w:val="center"/>
              <w:rPr>
                <w:rFonts w:ascii="宋体" w:eastAsia="宋体" w:hAnsi="宋体" w:cs="宋体"/>
                <w:kern w:val="0"/>
                <w:sz w:val="24"/>
                <w:szCs w:val="24"/>
              </w:rPr>
            </w:pPr>
            <w:r>
              <w:rPr>
                <w:rFonts w:ascii="宋体" w:eastAsia="宋体" w:hAnsi="宋体" w:cs="宋体" w:hint="eastAsia"/>
                <w:b/>
                <w:bCs/>
                <w:kern w:val="0"/>
                <w:sz w:val="24"/>
                <w:szCs w:val="24"/>
              </w:rPr>
              <w:t>合计</w:t>
            </w:r>
          </w:p>
        </w:tc>
        <w:tc>
          <w:tcPr>
            <w:tcW w:w="2145" w:type="dxa"/>
            <w:tcBorders>
              <w:top w:val="nil"/>
              <w:left w:val="nil"/>
              <w:bottom w:val="single" w:sz="6" w:space="0" w:color="DDDDDD"/>
              <w:right w:val="single" w:sz="6" w:space="0" w:color="000000"/>
            </w:tcBorders>
            <w:tcMar>
              <w:top w:w="15" w:type="dxa"/>
              <w:left w:w="15" w:type="dxa"/>
              <w:bottom w:w="15" w:type="dxa"/>
              <w:right w:w="15" w:type="dxa"/>
            </w:tcMar>
            <w:vAlign w:val="center"/>
          </w:tcPr>
          <w:p w:rsidR="002C5A51" w:rsidRDefault="004E03A4">
            <w:pPr>
              <w:keepLines/>
              <w:widowControl/>
              <w:jc w:val="center"/>
              <w:rPr>
                <w:rFonts w:ascii="宋体" w:eastAsia="宋体" w:hAnsi="宋体" w:cs="宋体"/>
                <w:kern w:val="0"/>
                <w:sz w:val="24"/>
                <w:szCs w:val="24"/>
              </w:rPr>
            </w:pPr>
            <w:r>
              <w:rPr>
                <w:rFonts w:ascii="宋体" w:eastAsia="宋体" w:hAnsi="宋体" w:cs="宋体" w:hint="eastAsia"/>
                <w:kern w:val="0"/>
                <w:sz w:val="24"/>
                <w:szCs w:val="24"/>
              </w:rPr>
              <w:t>0.06</w:t>
            </w:r>
          </w:p>
        </w:tc>
        <w:tc>
          <w:tcPr>
            <w:tcW w:w="2355" w:type="dxa"/>
            <w:tcBorders>
              <w:top w:val="nil"/>
              <w:left w:val="nil"/>
              <w:bottom w:val="single" w:sz="6" w:space="0" w:color="DDDDDD"/>
              <w:right w:val="single" w:sz="6" w:space="0" w:color="000000"/>
            </w:tcBorders>
            <w:tcMar>
              <w:top w:w="15" w:type="dxa"/>
              <w:left w:w="15" w:type="dxa"/>
              <w:bottom w:w="15" w:type="dxa"/>
              <w:right w:w="15" w:type="dxa"/>
            </w:tcMar>
            <w:vAlign w:val="center"/>
          </w:tcPr>
          <w:p w:rsidR="002C5A51" w:rsidRDefault="004E03A4">
            <w:pPr>
              <w:keepLines/>
              <w:widowControl/>
              <w:jc w:val="center"/>
              <w:rPr>
                <w:rFonts w:ascii="宋体" w:eastAsia="宋体" w:hAnsi="宋体" w:cs="宋体"/>
                <w:kern w:val="0"/>
                <w:sz w:val="24"/>
                <w:szCs w:val="24"/>
              </w:rPr>
            </w:pPr>
            <w:r>
              <w:rPr>
                <w:rFonts w:ascii="宋体" w:eastAsia="宋体" w:hAnsi="宋体" w:cs="宋体" w:hint="eastAsia"/>
                <w:kern w:val="0"/>
                <w:sz w:val="24"/>
                <w:szCs w:val="24"/>
              </w:rPr>
              <w:t>0.06</w:t>
            </w:r>
          </w:p>
        </w:tc>
      </w:tr>
      <w:tr w:rsidR="002C5A51">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2C5A51" w:rsidRDefault="004E03A4">
            <w:pPr>
              <w:keepLines/>
              <w:widowControl/>
              <w:jc w:val="center"/>
              <w:textAlignment w:val="center"/>
              <w:rPr>
                <w:rFonts w:ascii="宋体" w:eastAsia="宋体" w:hAnsi="宋体" w:cs="宋体"/>
                <w:kern w:val="0"/>
                <w:sz w:val="24"/>
                <w:szCs w:val="24"/>
              </w:rPr>
            </w:pPr>
            <w:r>
              <w:rPr>
                <w:rFonts w:ascii="宋体" w:eastAsia="宋体" w:hAnsi="宋体" w:cs="宋体" w:hint="eastAsia"/>
                <w:kern w:val="0"/>
                <w:sz w:val="24"/>
                <w:szCs w:val="24"/>
              </w:rPr>
              <w:t>1、因公出国（境）费</w:t>
            </w:r>
          </w:p>
        </w:tc>
        <w:tc>
          <w:tcPr>
            <w:tcW w:w="2145" w:type="dxa"/>
            <w:tcBorders>
              <w:top w:val="single" w:sz="6" w:space="0" w:color="000000"/>
              <w:left w:val="single" w:sz="6" w:space="0" w:color="000000"/>
              <w:bottom w:val="single" w:sz="6" w:space="0" w:color="DDDDDD"/>
              <w:right w:val="single" w:sz="6" w:space="0" w:color="DDDDDD"/>
            </w:tcBorders>
            <w:tcMar>
              <w:top w:w="15" w:type="dxa"/>
              <w:left w:w="15" w:type="dxa"/>
              <w:bottom w:w="15" w:type="dxa"/>
              <w:right w:w="15" w:type="dxa"/>
            </w:tcMar>
            <w:vAlign w:val="center"/>
          </w:tcPr>
          <w:p w:rsidR="002C5A51" w:rsidRDefault="004E03A4">
            <w:pPr>
              <w:keepLines/>
              <w:widowControl/>
              <w:jc w:val="center"/>
              <w:rPr>
                <w:rFonts w:ascii="宋体" w:eastAsia="宋体" w:hAnsi="宋体" w:cs="宋体"/>
                <w:kern w:val="0"/>
                <w:sz w:val="24"/>
                <w:szCs w:val="24"/>
              </w:rPr>
            </w:pPr>
            <w:r>
              <w:rPr>
                <w:rFonts w:ascii="宋体" w:eastAsia="宋体" w:hAnsi="宋体" w:cs="宋体" w:hint="eastAsia"/>
                <w:kern w:val="0"/>
                <w:sz w:val="24"/>
                <w:szCs w:val="24"/>
              </w:rPr>
              <w:t>0.00</w:t>
            </w:r>
          </w:p>
        </w:tc>
        <w:tc>
          <w:tcPr>
            <w:tcW w:w="23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2C5A51" w:rsidRDefault="004E03A4">
            <w:pPr>
              <w:keepLines/>
              <w:widowControl/>
              <w:jc w:val="center"/>
              <w:rPr>
                <w:rFonts w:ascii="宋体" w:eastAsia="宋体" w:hAnsi="宋体" w:cs="宋体"/>
                <w:kern w:val="0"/>
                <w:sz w:val="24"/>
                <w:szCs w:val="24"/>
              </w:rPr>
            </w:pPr>
            <w:r>
              <w:rPr>
                <w:rFonts w:ascii="宋体" w:eastAsia="宋体" w:hAnsi="宋体" w:cs="宋体" w:hint="eastAsia"/>
                <w:kern w:val="0"/>
                <w:sz w:val="24"/>
                <w:szCs w:val="24"/>
              </w:rPr>
              <w:t>0.00</w:t>
            </w:r>
          </w:p>
        </w:tc>
      </w:tr>
      <w:tr w:rsidR="002C5A51">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2C5A51" w:rsidRDefault="004E03A4">
            <w:pPr>
              <w:keepLines/>
              <w:widowControl/>
              <w:jc w:val="center"/>
              <w:textAlignment w:val="center"/>
              <w:rPr>
                <w:rFonts w:ascii="宋体" w:eastAsia="宋体" w:hAnsi="宋体" w:cs="宋体"/>
                <w:kern w:val="0"/>
                <w:sz w:val="24"/>
                <w:szCs w:val="24"/>
              </w:rPr>
            </w:pPr>
            <w:r>
              <w:rPr>
                <w:rFonts w:ascii="宋体" w:eastAsia="宋体" w:hAnsi="宋体" w:cs="宋体" w:hint="eastAsia"/>
                <w:kern w:val="0"/>
                <w:sz w:val="24"/>
                <w:szCs w:val="24"/>
              </w:rPr>
              <w:t>2、公务接待费</w:t>
            </w:r>
          </w:p>
        </w:tc>
        <w:tc>
          <w:tcPr>
            <w:tcW w:w="2145" w:type="dxa"/>
            <w:tcBorders>
              <w:top w:val="single" w:sz="6" w:space="0" w:color="000000"/>
              <w:left w:val="single" w:sz="6" w:space="0" w:color="000000"/>
              <w:bottom w:val="single" w:sz="6" w:space="0" w:color="000000"/>
              <w:right w:val="single" w:sz="6" w:space="0" w:color="DDDDDD"/>
            </w:tcBorders>
            <w:tcMar>
              <w:top w:w="15" w:type="dxa"/>
              <w:left w:w="15" w:type="dxa"/>
              <w:bottom w:w="15" w:type="dxa"/>
              <w:right w:w="15" w:type="dxa"/>
            </w:tcMar>
            <w:vAlign w:val="center"/>
          </w:tcPr>
          <w:p w:rsidR="002C5A51" w:rsidRDefault="004E03A4">
            <w:pPr>
              <w:keepLines/>
              <w:widowControl/>
              <w:jc w:val="center"/>
              <w:rPr>
                <w:rFonts w:ascii="宋体" w:eastAsia="宋体" w:hAnsi="宋体" w:cs="宋体"/>
                <w:kern w:val="0"/>
                <w:sz w:val="24"/>
                <w:szCs w:val="24"/>
              </w:rPr>
            </w:pPr>
            <w:r>
              <w:rPr>
                <w:rFonts w:ascii="宋体" w:eastAsia="宋体" w:hAnsi="宋体" w:cs="宋体" w:hint="eastAsia"/>
                <w:kern w:val="0"/>
                <w:sz w:val="24"/>
                <w:szCs w:val="24"/>
              </w:rPr>
              <w:t>0.06</w:t>
            </w:r>
          </w:p>
        </w:tc>
        <w:tc>
          <w:tcPr>
            <w:tcW w:w="2355" w:type="dxa"/>
            <w:tcBorders>
              <w:top w:val="single" w:sz="6" w:space="0" w:color="DDDDDD"/>
              <w:left w:val="single" w:sz="6" w:space="0" w:color="000000"/>
              <w:bottom w:val="single" w:sz="6" w:space="0" w:color="000000"/>
              <w:right w:val="single" w:sz="6" w:space="0" w:color="000000"/>
            </w:tcBorders>
            <w:tcMar>
              <w:top w:w="15" w:type="dxa"/>
              <w:left w:w="15" w:type="dxa"/>
              <w:bottom w:w="15" w:type="dxa"/>
              <w:right w:w="15" w:type="dxa"/>
            </w:tcMar>
            <w:vAlign w:val="center"/>
          </w:tcPr>
          <w:p w:rsidR="002C5A51" w:rsidRDefault="004E03A4">
            <w:pPr>
              <w:keepLines/>
              <w:widowControl/>
              <w:jc w:val="center"/>
              <w:rPr>
                <w:rFonts w:ascii="宋体" w:eastAsia="宋体" w:hAnsi="宋体" w:cs="宋体"/>
                <w:kern w:val="0"/>
                <w:sz w:val="24"/>
                <w:szCs w:val="24"/>
              </w:rPr>
            </w:pPr>
            <w:r>
              <w:rPr>
                <w:rFonts w:ascii="宋体" w:eastAsia="宋体" w:hAnsi="宋体" w:cs="宋体" w:hint="eastAsia"/>
                <w:kern w:val="0"/>
                <w:sz w:val="24"/>
                <w:szCs w:val="24"/>
              </w:rPr>
              <w:t>0.06</w:t>
            </w:r>
          </w:p>
        </w:tc>
      </w:tr>
      <w:tr w:rsidR="002C5A51">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2C5A51" w:rsidRDefault="004E03A4">
            <w:pPr>
              <w:keepLines/>
              <w:widowControl/>
              <w:jc w:val="center"/>
              <w:textAlignment w:val="center"/>
              <w:rPr>
                <w:rFonts w:ascii="宋体" w:eastAsia="宋体" w:hAnsi="宋体" w:cs="宋体"/>
                <w:kern w:val="0"/>
                <w:sz w:val="24"/>
                <w:szCs w:val="24"/>
              </w:rPr>
            </w:pPr>
            <w:r>
              <w:rPr>
                <w:rFonts w:ascii="宋体" w:eastAsia="宋体" w:hAnsi="宋体" w:cs="宋体" w:hint="eastAsia"/>
                <w:kern w:val="0"/>
                <w:sz w:val="24"/>
                <w:szCs w:val="24"/>
              </w:rPr>
              <w:t>3、公务用车购置及运行费</w:t>
            </w:r>
          </w:p>
        </w:tc>
        <w:tc>
          <w:tcPr>
            <w:tcW w:w="2145" w:type="dxa"/>
            <w:tcBorders>
              <w:top w:val="single" w:sz="6" w:space="0" w:color="DDDDDD"/>
              <w:left w:val="single" w:sz="6" w:space="0" w:color="000000"/>
              <w:bottom w:val="single" w:sz="6" w:space="0" w:color="DDDDDD"/>
              <w:right w:val="single" w:sz="6" w:space="0" w:color="DDDDDD"/>
            </w:tcBorders>
            <w:tcMar>
              <w:top w:w="15" w:type="dxa"/>
              <w:left w:w="15" w:type="dxa"/>
              <w:bottom w:w="15" w:type="dxa"/>
              <w:right w:w="15" w:type="dxa"/>
            </w:tcMar>
            <w:vAlign w:val="center"/>
          </w:tcPr>
          <w:p w:rsidR="002C5A51" w:rsidRDefault="004E03A4">
            <w:pPr>
              <w:keepLines/>
              <w:widowControl/>
              <w:jc w:val="center"/>
              <w:rPr>
                <w:rFonts w:ascii="宋体" w:eastAsia="宋体" w:hAnsi="宋体" w:cs="宋体"/>
                <w:kern w:val="0"/>
                <w:sz w:val="24"/>
                <w:szCs w:val="24"/>
              </w:rPr>
            </w:pPr>
            <w:r>
              <w:rPr>
                <w:rFonts w:ascii="宋体" w:eastAsia="宋体" w:hAnsi="宋体" w:cs="宋体" w:hint="eastAsia"/>
                <w:kern w:val="0"/>
                <w:sz w:val="24"/>
                <w:szCs w:val="24"/>
              </w:rPr>
              <w:t>0.00</w:t>
            </w:r>
          </w:p>
        </w:tc>
        <w:tc>
          <w:tcPr>
            <w:tcW w:w="2355" w:type="dxa"/>
            <w:tcBorders>
              <w:top w:val="single" w:sz="6" w:space="0" w:color="DDDDDD"/>
              <w:left w:val="single" w:sz="6" w:space="0" w:color="000000"/>
              <w:bottom w:val="single" w:sz="6" w:space="0" w:color="DDDDDD"/>
              <w:right w:val="single" w:sz="6" w:space="0" w:color="000000"/>
            </w:tcBorders>
            <w:tcMar>
              <w:top w:w="15" w:type="dxa"/>
              <w:left w:w="15" w:type="dxa"/>
              <w:bottom w:w="15" w:type="dxa"/>
              <w:right w:w="15" w:type="dxa"/>
            </w:tcMar>
            <w:vAlign w:val="center"/>
          </w:tcPr>
          <w:p w:rsidR="002C5A51" w:rsidRDefault="004E03A4">
            <w:pPr>
              <w:keepLines/>
              <w:widowControl/>
              <w:jc w:val="center"/>
              <w:rPr>
                <w:rFonts w:ascii="宋体" w:eastAsia="宋体" w:hAnsi="宋体" w:cs="宋体"/>
                <w:kern w:val="0"/>
                <w:sz w:val="24"/>
                <w:szCs w:val="24"/>
              </w:rPr>
            </w:pPr>
            <w:r>
              <w:rPr>
                <w:rFonts w:ascii="宋体" w:eastAsia="宋体" w:hAnsi="宋体" w:cs="宋体" w:hint="eastAsia"/>
                <w:kern w:val="0"/>
                <w:sz w:val="24"/>
                <w:szCs w:val="24"/>
              </w:rPr>
              <w:t>0.00</w:t>
            </w:r>
          </w:p>
        </w:tc>
      </w:tr>
      <w:tr w:rsidR="002C5A51">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2C5A51" w:rsidRDefault="004E03A4">
            <w:pPr>
              <w:keepLines/>
              <w:widowControl/>
              <w:jc w:val="center"/>
              <w:textAlignment w:val="center"/>
              <w:rPr>
                <w:rFonts w:ascii="宋体" w:eastAsia="宋体" w:hAnsi="宋体" w:cs="宋体"/>
                <w:kern w:val="0"/>
                <w:sz w:val="24"/>
                <w:szCs w:val="24"/>
              </w:rPr>
            </w:pPr>
            <w:r>
              <w:rPr>
                <w:rFonts w:ascii="宋体" w:eastAsia="宋体" w:hAnsi="宋体" w:cs="宋体" w:hint="eastAsia"/>
                <w:kern w:val="0"/>
                <w:sz w:val="24"/>
                <w:szCs w:val="24"/>
              </w:rPr>
              <w:t>其中：公务用车购置</w:t>
            </w:r>
          </w:p>
        </w:tc>
        <w:tc>
          <w:tcPr>
            <w:tcW w:w="2145" w:type="dxa"/>
            <w:tcBorders>
              <w:top w:val="single" w:sz="6" w:space="0" w:color="000000"/>
              <w:left w:val="single" w:sz="6" w:space="0" w:color="000000"/>
              <w:bottom w:val="single" w:sz="6" w:space="0" w:color="DDDDDD"/>
              <w:right w:val="single" w:sz="6" w:space="0" w:color="DDDDDD"/>
            </w:tcBorders>
            <w:tcMar>
              <w:top w:w="15" w:type="dxa"/>
              <w:left w:w="15" w:type="dxa"/>
              <w:bottom w:w="15" w:type="dxa"/>
              <w:right w:w="15" w:type="dxa"/>
            </w:tcMar>
            <w:vAlign w:val="center"/>
          </w:tcPr>
          <w:p w:rsidR="002C5A51" w:rsidRDefault="004E03A4">
            <w:pPr>
              <w:keepLines/>
              <w:widowControl/>
              <w:jc w:val="center"/>
              <w:rPr>
                <w:rFonts w:ascii="宋体" w:eastAsia="宋体" w:hAnsi="宋体" w:cs="宋体"/>
                <w:kern w:val="0"/>
                <w:sz w:val="24"/>
                <w:szCs w:val="24"/>
              </w:rPr>
            </w:pPr>
            <w:r>
              <w:rPr>
                <w:rFonts w:ascii="宋体" w:eastAsia="宋体" w:hAnsi="宋体" w:cs="宋体" w:hint="eastAsia"/>
                <w:kern w:val="0"/>
                <w:sz w:val="24"/>
                <w:szCs w:val="24"/>
              </w:rPr>
              <w:t>0.00</w:t>
            </w:r>
          </w:p>
        </w:tc>
        <w:tc>
          <w:tcPr>
            <w:tcW w:w="23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2C5A51" w:rsidRDefault="004E03A4">
            <w:pPr>
              <w:keepLines/>
              <w:widowControl/>
              <w:jc w:val="center"/>
              <w:rPr>
                <w:rFonts w:ascii="宋体" w:eastAsia="宋体" w:hAnsi="宋体" w:cs="宋体"/>
                <w:kern w:val="0"/>
                <w:sz w:val="24"/>
                <w:szCs w:val="24"/>
              </w:rPr>
            </w:pPr>
            <w:r>
              <w:rPr>
                <w:rFonts w:ascii="宋体" w:eastAsia="宋体" w:hAnsi="宋体" w:cs="宋体" w:hint="eastAsia"/>
                <w:kern w:val="0"/>
                <w:sz w:val="24"/>
                <w:szCs w:val="24"/>
              </w:rPr>
              <w:t>0.00</w:t>
            </w:r>
          </w:p>
        </w:tc>
      </w:tr>
      <w:tr w:rsidR="002C5A51">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2C5A51" w:rsidRDefault="004E03A4">
            <w:pPr>
              <w:keepLines/>
              <w:widowControl/>
              <w:jc w:val="center"/>
              <w:textAlignment w:val="center"/>
              <w:rPr>
                <w:rFonts w:ascii="宋体" w:eastAsia="宋体" w:hAnsi="宋体" w:cs="宋体"/>
                <w:kern w:val="0"/>
                <w:sz w:val="24"/>
                <w:szCs w:val="24"/>
              </w:rPr>
            </w:pPr>
            <w:r>
              <w:rPr>
                <w:rFonts w:ascii="宋体" w:eastAsia="宋体" w:hAnsi="宋体" w:cs="宋体" w:hint="eastAsia"/>
                <w:kern w:val="0"/>
                <w:sz w:val="24"/>
                <w:szCs w:val="24"/>
              </w:rPr>
              <w:t>公务用车运行费</w:t>
            </w:r>
          </w:p>
        </w:tc>
        <w:tc>
          <w:tcPr>
            <w:tcW w:w="2145" w:type="dxa"/>
            <w:tcBorders>
              <w:top w:val="single" w:sz="6" w:space="0" w:color="000000"/>
              <w:left w:val="single" w:sz="6" w:space="0" w:color="000000"/>
              <w:bottom w:val="single" w:sz="6" w:space="0" w:color="000000"/>
              <w:right w:val="single" w:sz="6" w:space="0" w:color="DDDDDD"/>
            </w:tcBorders>
            <w:tcMar>
              <w:top w:w="15" w:type="dxa"/>
              <w:left w:w="15" w:type="dxa"/>
              <w:bottom w:w="15" w:type="dxa"/>
              <w:right w:w="15" w:type="dxa"/>
            </w:tcMar>
            <w:vAlign w:val="center"/>
          </w:tcPr>
          <w:p w:rsidR="002C5A51" w:rsidRDefault="004E03A4">
            <w:pPr>
              <w:keepLines/>
              <w:widowControl/>
              <w:jc w:val="center"/>
              <w:rPr>
                <w:rFonts w:ascii="宋体" w:eastAsia="宋体" w:hAnsi="宋体" w:cs="宋体"/>
                <w:kern w:val="0"/>
                <w:sz w:val="24"/>
                <w:szCs w:val="24"/>
              </w:rPr>
            </w:pPr>
            <w:r>
              <w:rPr>
                <w:rFonts w:ascii="宋体" w:eastAsia="宋体" w:hAnsi="宋体" w:cs="宋体" w:hint="eastAsia"/>
                <w:kern w:val="0"/>
                <w:sz w:val="24"/>
                <w:szCs w:val="24"/>
              </w:rPr>
              <w:t>0.00</w:t>
            </w:r>
          </w:p>
        </w:tc>
        <w:tc>
          <w:tcPr>
            <w:tcW w:w="2355" w:type="dxa"/>
            <w:tcBorders>
              <w:top w:val="single" w:sz="6" w:space="0" w:color="DDDDDD"/>
              <w:left w:val="single" w:sz="6" w:space="0" w:color="000000"/>
              <w:bottom w:val="single" w:sz="6" w:space="0" w:color="000000"/>
              <w:right w:val="single" w:sz="6" w:space="0" w:color="000000"/>
            </w:tcBorders>
            <w:tcMar>
              <w:top w:w="15" w:type="dxa"/>
              <w:left w:w="15" w:type="dxa"/>
              <w:bottom w:w="15" w:type="dxa"/>
              <w:right w:w="15" w:type="dxa"/>
            </w:tcMar>
            <w:vAlign w:val="center"/>
          </w:tcPr>
          <w:p w:rsidR="002C5A51" w:rsidRDefault="004E03A4">
            <w:pPr>
              <w:keepLines/>
              <w:widowControl/>
              <w:jc w:val="center"/>
              <w:rPr>
                <w:rFonts w:ascii="宋体" w:eastAsia="宋体" w:hAnsi="宋体" w:cs="宋体"/>
                <w:kern w:val="0"/>
                <w:sz w:val="24"/>
                <w:szCs w:val="24"/>
              </w:rPr>
            </w:pPr>
            <w:r>
              <w:rPr>
                <w:rFonts w:ascii="宋体" w:eastAsia="宋体" w:hAnsi="宋体" w:cs="宋体" w:hint="eastAsia"/>
                <w:kern w:val="0"/>
                <w:sz w:val="24"/>
                <w:szCs w:val="24"/>
              </w:rPr>
              <w:t>0.00</w:t>
            </w:r>
          </w:p>
        </w:tc>
      </w:tr>
    </w:tbl>
    <w:p w:rsidR="002C5A51" w:rsidRDefault="002C5A51">
      <w:pPr>
        <w:keepLines/>
        <w:widowControl/>
        <w:shd w:val="clear" w:color="auto" w:fill="FFFFFF"/>
        <w:jc w:val="left"/>
        <w:rPr>
          <w:rFonts w:ascii="微软雅黑" w:eastAsia="微软雅黑" w:hAnsi="微软雅黑" w:cs="宋体"/>
          <w:color w:val="333333"/>
          <w:kern w:val="0"/>
          <w:sz w:val="24"/>
          <w:szCs w:val="24"/>
        </w:rPr>
      </w:pPr>
    </w:p>
    <w:p w:rsidR="002C5A51" w:rsidRDefault="004E03A4">
      <w:pPr>
        <w:keepLines/>
        <w:widowControl/>
        <w:shd w:val="clear" w:color="auto" w:fill="FFFFFF"/>
        <w:ind w:firstLine="645"/>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五、国有资产占用情况</w:t>
      </w:r>
    </w:p>
    <w:p w:rsidR="002C5A51" w:rsidRDefault="004E03A4">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本溪市溪湖区</w:t>
      </w:r>
      <w:r>
        <w:rPr>
          <w:rFonts w:ascii="仿宋" w:eastAsia="仿宋" w:hAnsi="仿宋" w:cs="仿宋" w:hint="eastAsia"/>
          <w:color w:val="333333"/>
          <w:kern w:val="0"/>
          <w:sz w:val="32"/>
          <w:szCs w:val="32"/>
        </w:rPr>
        <w:t>人力资源和社会保障局</w:t>
      </w:r>
      <w:r>
        <w:rPr>
          <w:rFonts w:ascii="仿宋_GB2312" w:eastAsia="仿宋_GB2312" w:hAnsi="微软雅黑" w:cs="宋体" w:hint="eastAsia"/>
          <w:color w:val="333333"/>
          <w:kern w:val="0"/>
          <w:sz w:val="32"/>
          <w:szCs w:val="32"/>
        </w:rPr>
        <w:t>共有车辆0台，其中：一般公务用车0台。无其他国有资产情况</w:t>
      </w:r>
    </w:p>
    <w:p w:rsidR="002C5A51" w:rsidRDefault="004E03A4">
      <w:pPr>
        <w:keepLines/>
        <w:widowControl/>
        <w:shd w:val="clear" w:color="auto" w:fill="FFFFFF"/>
        <w:ind w:firstLine="645"/>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六、绩效情况</w:t>
      </w:r>
    </w:p>
    <w:p w:rsidR="002C5A51" w:rsidRDefault="004E03A4">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根据预算绩效管理要求，本溪市溪湖区</w:t>
      </w:r>
      <w:r>
        <w:rPr>
          <w:rFonts w:ascii="仿宋" w:eastAsia="仿宋" w:hAnsi="仿宋" w:cs="仿宋" w:hint="eastAsia"/>
          <w:color w:val="333333"/>
          <w:kern w:val="0"/>
          <w:sz w:val="32"/>
          <w:szCs w:val="32"/>
        </w:rPr>
        <w:t>人力资源和社会保障局</w:t>
      </w:r>
      <w:r>
        <w:rPr>
          <w:rFonts w:ascii="仿宋_GB2312" w:eastAsia="仿宋_GB2312" w:hAnsi="微软雅黑" w:cs="宋体" w:hint="eastAsia"/>
          <w:color w:val="333333"/>
          <w:kern w:val="0"/>
          <w:sz w:val="32"/>
          <w:szCs w:val="32"/>
        </w:rPr>
        <w:t>2021年应编制绩效目标的项目共5个，实际编制绩效目标的项目共5个，涉及资金889万元，编制绩效目标的项目覆盖率（实际编制绩效目标的项目/应编制绩效目标的项目）为100%。</w:t>
      </w:r>
    </w:p>
    <w:p w:rsidR="002C5A51" w:rsidRDefault="002C5A51">
      <w:pPr>
        <w:keepLines/>
      </w:pPr>
    </w:p>
    <w:p w:rsidR="002C5A51" w:rsidRDefault="002C5A51">
      <w:pPr>
        <w:keepLines/>
      </w:pPr>
    </w:p>
    <w:p w:rsidR="002C5A51" w:rsidRDefault="002C5A51">
      <w:pPr>
        <w:keepLines/>
      </w:pPr>
    </w:p>
    <w:p w:rsidR="002C5A51" w:rsidRDefault="002C5A51">
      <w:pPr>
        <w:keepLines/>
      </w:pPr>
    </w:p>
    <w:tbl>
      <w:tblPr>
        <w:tblW w:w="8519" w:type="dxa"/>
        <w:tblInd w:w="93" w:type="dxa"/>
        <w:tblLook w:val="04A0" w:firstRow="1" w:lastRow="0" w:firstColumn="1" w:lastColumn="0" w:noHBand="0" w:noVBand="1"/>
      </w:tblPr>
      <w:tblGrid>
        <w:gridCol w:w="582"/>
        <w:gridCol w:w="709"/>
        <w:gridCol w:w="1417"/>
        <w:gridCol w:w="2977"/>
        <w:gridCol w:w="567"/>
        <w:gridCol w:w="567"/>
        <w:gridCol w:w="567"/>
        <w:gridCol w:w="567"/>
        <w:gridCol w:w="566"/>
      </w:tblGrid>
      <w:tr w:rsidR="002C5A51">
        <w:trPr>
          <w:trHeight w:val="619"/>
        </w:trPr>
        <w:tc>
          <w:tcPr>
            <w:tcW w:w="8519" w:type="dxa"/>
            <w:gridSpan w:val="9"/>
            <w:tcBorders>
              <w:top w:val="nil"/>
              <w:left w:val="nil"/>
              <w:bottom w:val="nil"/>
              <w:right w:val="nil"/>
            </w:tcBorders>
            <w:shd w:val="clear" w:color="auto" w:fill="auto"/>
            <w:noWrap/>
            <w:vAlign w:val="center"/>
          </w:tcPr>
          <w:p w:rsidR="002C5A51" w:rsidRDefault="004E03A4">
            <w:pPr>
              <w:keepLines/>
              <w:widowControl/>
              <w:jc w:val="center"/>
              <w:rPr>
                <w:rFonts w:ascii="宋体" w:eastAsia="宋体" w:hAnsi="宋体" w:cs="宋体"/>
                <w:b/>
                <w:bCs/>
                <w:kern w:val="0"/>
                <w:sz w:val="36"/>
                <w:szCs w:val="36"/>
              </w:rPr>
            </w:pPr>
            <w:r>
              <w:rPr>
                <w:rFonts w:ascii="宋体" w:eastAsia="宋体" w:hAnsi="宋体" w:cs="宋体" w:hint="eastAsia"/>
                <w:b/>
                <w:bCs/>
                <w:kern w:val="0"/>
                <w:sz w:val="36"/>
                <w:szCs w:val="36"/>
              </w:rPr>
              <w:lastRenderedPageBreak/>
              <w:t>部门整体绩效目标情况表</w:t>
            </w:r>
          </w:p>
        </w:tc>
      </w:tr>
      <w:tr w:rsidR="002C5A51">
        <w:trPr>
          <w:trHeight w:val="300"/>
        </w:trPr>
        <w:tc>
          <w:tcPr>
            <w:tcW w:w="582" w:type="dxa"/>
            <w:vMerge w:val="restart"/>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绩效目标</w:t>
            </w:r>
          </w:p>
        </w:tc>
        <w:tc>
          <w:tcPr>
            <w:tcW w:w="5103" w:type="dxa"/>
            <w:gridSpan w:val="3"/>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年度绩效指标</w:t>
            </w:r>
          </w:p>
        </w:tc>
        <w:tc>
          <w:tcPr>
            <w:tcW w:w="567" w:type="dxa"/>
            <w:vMerge w:val="restart"/>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指标属性</w:t>
            </w:r>
          </w:p>
        </w:tc>
        <w:tc>
          <w:tcPr>
            <w:tcW w:w="567" w:type="dxa"/>
            <w:vMerge w:val="restart"/>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运算符号</w:t>
            </w:r>
          </w:p>
        </w:tc>
        <w:tc>
          <w:tcPr>
            <w:tcW w:w="567" w:type="dxa"/>
            <w:vMerge w:val="restart"/>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指标值</w:t>
            </w:r>
          </w:p>
        </w:tc>
        <w:tc>
          <w:tcPr>
            <w:tcW w:w="567" w:type="dxa"/>
            <w:vMerge w:val="restart"/>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度量单位</w:t>
            </w:r>
          </w:p>
        </w:tc>
        <w:tc>
          <w:tcPr>
            <w:tcW w:w="566"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完成时限</w:t>
            </w:r>
          </w:p>
        </w:tc>
      </w:tr>
      <w:tr w:rsidR="002C5A51">
        <w:trPr>
          <w:trHeight w:val="300"/>
        </w:trPr>
        <w:tc>
          <w:tcPr>
            <w:tcW w:w="582" w:type="dxa"/>
            <w:vMerge/>
            <w:tcBorders>
              <w:top w:val="single" w:sz="4" w:space="0" w:color="auto"/>
              <w:left w:val="single" w:sz="4" w:space="0" w:color="auto"/>
              <w:bottom w:val="single" w:sz="4" w:space="0" w:color="auto"/>
              <w:right w:val="nil"/>
            </w:tcBorders>
            <w:tcMar>
              <w:left w:w="0" w:type="dxa"/>
              <w:right w:w="0" w:type="dxa"/>
            </w:tcMar>
            <w:vAlign w:val="center"/>
          </w:tcPr>
          <w:p w:rsidR="002C5A51" w:rsidRDefault="002C5A51">
            <w:pPr>
              <w:keepLines/>
              <w:widowControl/>
              <w:spacing w:line="230" w:lineRule="exact"/>
              <w:jc w:val="left"/>
              <w:rPr>
                <w:rFonts w:ascii="宋体" w:eastAsia="宋体" w:hAnsi="宋体" w:cs="宋体"/>
                <w:kern w:val="0"/>
                <w:szCs w:val="21"/>
              </w:rPr>
            </w:pPr>
          </w:p>
        </w:tc>
        <w:tc>
          <w:tcPr>
            <w:tcW w:w="709" w:type="dxa"/>
            <w:tcBorders>
              <w:top w:val="nil"/>
              <w:left w:val="single" w:sz="4" w:space="0" w:color="auto"/>
              <w:bottom w:val="nil"/>
              <w:right w:val="nil"/>
            </w:tcBorders>
            <w:shd w:val="clear" w:color="auto" w:fill="auto"/>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一级指标</w:t>
            </w:r>
          </w:p>
        </w:tc>
        <w:tc>
          <w:tcPr>
            <w:tcW w:w="1417" w:type="dxa"/>
            <w:tcBorders>
              <w:top w:val="nil"/>
              <w:left w:val="single" w:sz="4" w:space="0" w:color="auto"/>
              <w:bottom w:val="nil"/>
              <w:right w:val="nil"/>
            </w:tcBorders>
            <w:shd w:val="clear" w:color="auto" w:fill="auto"/>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二级指标</w:t>
            </w:r>
          </w:p>
        </w:tc>
        <w:tc>
          <w:tcPr>
            <w:tcW w:w="2977" w:type="dxa"/>
            <w:tcBorders>
              <w:top w:val="nil"/>
              <w:left w:val="single" w:sz="4" w:space="0" w:color="auto"/>
              <w:bottom w:val="nil"/>
              <w:right w:val="nil"/>
            </w:tcBorders>
            <w:shd w:val="clear" w:color="auto" w:fill="auto"/>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三级指标</w:t>
            </w:r>
          </w:p>
        </w:tc>
        <w:tc>
          <w:tcPr>
            <w:tcW w:w="567" w:type="dxa"/>
            <w:vMerge/>
            <w:tcBorders>
              <w:top w:val="single" w:sz="4" w:space="0" w:color="auto"/>
              <w:left w:val="single" w:sz="4" w:space="0" w:color="auto"/>
              <w:bottom w:val="single" w:sz="4" w:space="0" w:color="auto"/>
              <w:right w:val="nil"/>
            </w:tcBorders>
            <w:tcMar>
              <w:left w:w="0" w:type="dxa"/>
              <w:right w:w="0" w:type="dxa"/>
            </w:tcMar>
            <w:vAlign w:val="center"/>
          </w:tcPr>
          <w:p w:rsidR="002C5A51" w:rsidRDefault="002C5A51">
            <w:pPr>
              <w:keepLines/>
              <w:widowControl/>
              <w:spacing w:line="230" w:lineRule="exact"/>
              <w:jc w:val="left"/>
              <w:rPr>
                <w:rFonts w:ascii="宋体" w:eastAsia="宋体" w:hAnsi="宋体" w:cs="宋体"/>
                <w:kern w:val="0"/>
                <w:szCs w:val="21"/>
              </w:rPr>
            </w:pPr>
          </w:p>
        </w:tc>
        <w:tc>
          <w:tcPr>
            <w:tcW w:w="567" w:type="dxa"/>
            <w:vMerge/>
            <w:tcBorders>
              <w:top w:val="single" w:sz="4" w:space="0" w:color="auto"/>
              <w:left w:val="single" w:sz="4" w:space="0" w:color="auto"/>
              <w:bottom w:val="single" w:sz="4" w:space="0" w:color="auto"/>
              <w:right w:val="nil"/>
            </w:tcBorders>
            <w:tcMar>
              <w:left w:w="0" w:type="dxa"/>
              <w:right w:w="0" w:type="dxa"/>
            </w:tcMar>
            <w:vAlign w:val="center"/>
          </w:tcPr>
          <w:p w:rsidR="002C5A51" w:rsidRDefault="002C5A51">
            <w:pPr>
              <w:keepLines/>
              <w:widowControl/>
              <w:spacing w:line="230" w:lineRule="exact"/>
              <w:jc w:val="left"/>
              <w:rPr>
                <w:rFonts w:ascii="宋体" w:eastAsia="宋体" w:hAnsi="宋体" w:cs="宋体"/>
                <w:kern w:val="0"/>
                <w:szCs w:val="21"/>
              </w:rPr>
            </w:pPr>
          </w:p>
        </w:tc>
        <w:tc>
          <w:tcPr>
            <w:tcW w:w="567" w:type="dxa"/>
            <w:vMerge/>
            <w:tcBorders>
              <w:top w:val="single" w:sz="4" w:space="0" w:color="auto"/>
              <w:left w:val="single" w:sz="4" w:space="0" w:color="auto"/>
              <w:bottom w:val="single" w:sz="4" w:space="0" w:color="auto"/>
              <w:right w:val="nil"/>
            </w:tcBorders>
            <w:tcMar>
              <w:left w:w="0" w:type="dxa"/>
              <w:right w:w="0" w:type="dxa"/>
            </w:tcMar>
            <w:vAlign w:val="center"/>
          </w:tcPr>
          <w:p w:rsidR="002C5A51" w:rsidRDefault="002C5A51">
            <w:pPr>
              <w:keepLines/>
              <w:widowControl/>
              <w:spacing w:line="230" w:lineRule="exact"/>
              <w:jc w:val="left"/>
              <w:rPr>
                <w:rFonts w:ascii="宋体" w:eastAsia="宋体" w:hAnsi="宋体" w:cs="宋体"/>
                <w:kern w:val="0"/>
                <w:szCs w:val="21"/>
              </w:rPr>
            </w:pPr>
          </w:p>
        </w:tc>
        <w:tc>
          <w:tcPr>
            <w:tcW w:w="567" w:type="dxa"/>
            <w:vMerge/>
            <w:tcBorders>
              <w:top w:val="single" w:sz="4" w:space="0" w:color="auto"/>
              <w:left w:val="single" w:sz="4" w:space="0" w:color="auto"/>
              <w:bottom w:val="single" w:sz="4" w:space="0" w:color="auto"/>
              <w:right w:val="nil"/>
            </w:tcBorders>
            <w:tcMar>
              <w:left w:w="0" w:type="dxa"/>
              <w:right w:w="0" w:type="dxa"/>
            </w:tcMar>
            <w:vAlign w:val="center"/>
          </w:tcPr>
          <w:p w:rsidR="002C5A51" w:rsidRDefault="002C5A51">
            <w:pPr>
              <w:keepLines/>
              <w:widowControl/>
              <w:spacing w:line="230" w:lineRule="exact"/>
              <w:jc w:val="left"/>
              <w:rPr>
                <w:rFonts w:ascii="宋体" w:eastAsia="宋体" w:hAnsi="宋体" w:cs="宋体"/>
                <w:kern w:val="0"/>
                <w:szCs w:val="21"/>
              </w:rPr>
            </w:pPr>
          </w:p>
        </w:tc>
        <w:tc>
          <w:tcPr>
            <w:tcW w:w="566"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2C5A51" w:rsidRDefault="002C5A51">
            <w:pPr>
              <w:keepLines/>
              <w:widowControl/>
              <w:spacing w:line="230" w:lineRule="exact"/>
              <w:jc w:val="left"/>
              <w:rPr>
                <w:rFonts w:ascii="宋体" w:eastAsia="宋体" w:hAnsi="宋体" w:cs="宋体"/>
                <w:kern w:val="0"/>
                <w:szCs w:val="21"/>
              </w:rPr>
            </w:pPr>
          </w:p>
        </w:tc>
      </w:tr>
      <w:tr w:rsidR="002C5A51">
        <w:trPr>
          <w:trHeight w:val="300"/>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2C5A51" w:rsidRDefault="004E03A4">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1.做好各项日常事务性工作。</w:t>
            </w:r>
            <w:r>
              <w:rPr>
                <w:rFonts w:ascii="宋体" w:eastAsia="宋体" w:hAnsi="宋体" w:cs="宋体" w:hint="eastAsia"/>
                <w:kern w:val="0"/>
                <w:szCs w:val="21"/>
              </w:rPr>
              <w:br/>
              <w:t>2.提升服务水平 提高服务对象满意度。</w:t>
            </w:r>
          </w:p>
        </w:tc>
        <w:tc>
          <w:tcPr>
            <w:tcW w:w="709" w:type="dxa"/>
            <w:vMerge w:val="restart"/>
            <w:tcBorders>
              <w:top w:val="single" w:sz="4" w:space="0" w:color="auto"/>
              <w:left w:val="nil"/>
              <w:bottom w:val="single" w:sz="4" w:space="0" w:color="000000"/>
              <w:right w:val="single" w:sz="4" w:space="0" w:color="auto"/>
            </w:tcBorders>
            <w:shd w:val="clear" w:color="auto" w:fill="auto"/>
            <w:tcMar>
              <w:left w:w="0" w:type="dxa"/>
              <w:right w:w="0" w:type="dxa"/>
            </w:tcMar>
            <w:vAlign w:val="center"/>
          </w:tcPr>
          <w:p w:rsidR="002C5A51" w:rsidRDefault="004E03A4">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履职效能</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tcMar>
              <w:left w:w="0" w:type="dxa"/>
              <w:right w:w="0" w:type="dxa"/>
            </w:tcMar>
            <w:vAlign w:val="center"/>
          </w:tcPr>
          <w:p w:rsidR="002C5A51" w:rsidRDefault="004E03A4">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重点工作履行情况</w:t>
            </w:r>
          </w:p>
        </w:tc>
        <w:tc>
          <w:tcPr>
            <w:tcW w:w="297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2C5A51" w:rsidRDefault="004E03A4">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重点工作办结率</w:t>
            </w:r>
          </w:p>
        </w:tc>
        <w:tc>
          <w:tcPr>
            <w:tcW w:w="56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100</w:t>
            </w:r>
          </w:p>
        </w:tc>
        <w:tc>
          <w:tcPr>
            <w:tcW w:w="56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2021年末</w:t>
            </w:r>
          </w:p>
        </w:tc>
      </w:tr>
      <w:tr w:rsidR="002C5A51">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2C5A51" w:rsidRDefault="002C5A51">
            <w:pPr>
              <w:keepLines/>
              <w:widowControl/>
              <w:spacing w:line="230" w:lineRule="exact"/>
              <w:jc w:val="left"/>
              <w:rPr>
                <w:rFonts w:ascii="宋体" w:eastAsia="宋体" w:hAnsi="宋体" w:cs="宋体"/>
                <w:kern w:val="0"/>
                <w:szCs w:val="21"/>
              </w:rPr>
            </w:pPr>
          </w:p>
        </w:tc>
        <w:tc>
          <w:tcPr>
            <w:tcW w:w="709" w:type="dxa"/>
            <w:vMerge/>
            <w:tcBorders>
              <w:top w:val="single" w:sz="4" w:space="0" w:color="auto"/>
              <w:left w:val="nil"/>
              <w:bottom w:val="single" w:sz="4" w:space="0" w:color="000000"/>
              <w:right w:val="single" w:sz="4" w:space="0" w:color="auto"/>
            </w:tcBorders>
            <w:tcMar>
              <w:left w:w="0" w:type="dxa"/>
              <w:right w:w="0" w:type="dxa"/>
            </w:tcMar>
            <w:vAlign w:val="center"/>
          </w:tcPr>
          <w:p w:rsidR="002C5A51" w:rsidRDefault="002C5A51">
            <w:pPr>
              <w:keepLines/>
              <w:widowControl/>
              <w:spacing w:line="230" w:lineRule="exact"/>
              <w:jc w:val="left"/>
              <w:rPr>
                <w:rFonts w:ascii="宋体" w:eastAsia="宋体" w:hAnsi="宋体" w:cs="宋体"/>
                <w:kern w:val="0"/>
                <w:szCs w:val="21"/>
              </w:rPr>
            </w:pPr>
          </w:p>
        </w:tc>
        <w:tc>
          <w:tcPr>
            <w:tcW w:w="1417" w:type="dxa"/>
            <w:vMerge/>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2C5A51" w:rsidRDefault="002C5A51">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tcPr>
          <w:p w:rsidR="002C5A51" w:rsidRDefault="004E03A4">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省、市政府绩效</w:t>
            </w:r>
            <w:proofErr w:type="gramStart"/>
            <w:r>
              <w:rPr>
                <w:rFonts w:ascii="宋体" w:eastAsia="宋体" w:hAnsi="宋体" w:cs="宋体" w:hint="eastAsia"/>
                <w:kern w:val="0"/>
                <w:szCs w:val="21"/>
              </w:rPr>
              <w:t>办考核</w:t>
            </w:r>
            <w:proofErr w:type="gramEnd"/>
            <w:r>
              <w:rPr>
                <w:rFonts w:ascii="宋体" w:eastAsia="宋体" w:hAnsi="宋体" w:cs="宋体" w:hint="eastAsia"/>
                <w:kern w:val="0"/>
                <w:szCs w:val="21"/>
              </w:rPr>
              <w:t>个性指标任务完成情况</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2021年末</w:t>
            </w:r>
          </w:p>
        </w:tc>
      </w:tr>
      <w:tr w:rsidR="002C5A51">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2C5A51" w:rsidRDefault="002C5A51">
            <w:pPr>
              <w:keepLines/>
              <w:widowControl/>
              <w:spacing w:line="230" w:lineRule="exact"/>
              <w:jc w:val="left"/>
              <w:rPr>
                <w:rFonts w:ascii="宋体" w:eastAsia="宋体" w:hAnsi="宋体" w:cs="宋体"/>
                <w:kern w:val="0"/>
                <w:szCs w:val="21"/>
              </w:rPr>
            </w:pPr>
          </w:p>
        </w:tc>
        <w:tc>
          <w:tcPr>
            <w:tcW w:w="709" w:type="dxa"/>
            <w:vMerge/>
            <w:tcBorders>
              <w:top w:val="single" w:sz="4" w:space="0" w:color="auto"/>
              <w:left w:val="nil"/>
              <w:bottom w:val="single" w:sz="4" w:space="0" w:color="000000"/>
              <w:right w:val="single" w:sz="4" w:space="0" w:color="auto"/>
            </w:tcBorders>
            <w:tcMar>
              <w:left w:w="0" w:type="dxa"/>
              <w:right w:w="0" w:type="dxa"/>
            </w:tcMar>
            <w:vAlign w:val="center"/>
          </w:tcPr>
          <w:p w:rsidR="002C5A51" w:rsidRDefault="002C5A51">
            <w:pPr>
              <w:keepLines/>
              <w:widowControl/>
              <w:spacing w:line="230" w:lineRule="exact"/>
              <w:jc w:val="left"/>
              <w:rPr>
                <w:rFonts w:ascii="宋体" w:eastAsia="宋体" w:hAnsi="宋体" w:cs="宋体"/>
                <w:kern w:val="0"/>
                <w:szCs w:val="21"/>
              </w:rPr>
            </w:pPr>
          </w:p>
        </w:tc>
        <w:tc>
          <w:tcPr>
            <w:tcW w:w="1417" w:type="dxa"/>
            <w:vMerge w:val="restart"/>
            <w:tcBorders>
              <w:top w:val="nil"/>
              <w:left w:val="single" w:sz="4" w:space="0" w:color="auto"/>
              <w:bottom w:val="single" w:sz="4" w:space="0" w:color="000000"/>
              <w:right w:val="single" w:sz="4" w:space="0" w:color="auto"/>
            </w:tcBorders>
            <w:shd w:val="clear" w:color="auto" w:fill="auto"/>
            <w:tcMar>
              <w:left w:w="0" w:type="dxa"/>
              <w:right w:w="0" w:type="dxa"/>
            </w:tcMar>
            <w:vAlign w:val="center"/>
          </w:tcPr>
          <w:p w:rsidR="002C5A51" w:rsidRDefault="004E03A4">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整体工作完成情况</w:t>
            </w: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tcPr>
          <w:p w:rsidR="002C5A51" w:rsidRDefault="004E03A4">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总体工作完成率</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2021年末</w:t>
            </w:r>
          </w:p>
        </w:tc>
      </w:tr>
      <w:tr w:rsidR="002C5A51">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2C5A51" w:rsidRDefault="002C5A51">
            <w:pPr>
              <w:keepLines/>
              <w:widowControl/>
              <w:spacing w:line="230" w:lineRule="exact"/>
              <w:jc w:val="left"/>
              <w:rPr>
                <w:rFonts w:ascii="宋体" w:eastAsia="宋体" w:hAnsi="宋体" w:cs="宋体"/>
                <w:kern w:val="0"/>
                <w:szCs w:val="21"/>
              </w:rPr>
            </w:pPr>
          </w:p>
        </w:tc>
        <w:tc>
          <w:tcPr>
            <w:tcW w:w="709" w:type="dxa"/>
            <w:vMerge/>
            <w:tcBorders>
              <w:top w:val="single" w:sz="4" w:space="0" w:color="auto"/>
              <w:left w:val="nil"/>
              <w:bottom w:val="single" w:sz="4" w:space="0" w:color="000000"/>
              <w:right w:val="single" w:sz="4" w:space="0" w:color="auto"/>
            </w:tcBorders>
            <w:tcMar>
              <w:left w:w="0" w:type="dxa"/>
              <w:right w:w="0" w:type="dxa"/>
            </w:tcMar>
            <w:vAlign w:val="center"/>
          </w:tcPr>
          <w:p w:rsidR="002C5A51" w:rsidRDefault="002C5A51">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tcPr>
          <w:p w:rsidR="002C5A51" w:rsidRDefault="002C5A51">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2C5A51" w:rsidRDefault="004E03A4">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工作完成及时率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2021年末</w:t>
            </w:r>
          </w:p>
        </w:tc>
      </w:tr>
      <w:tr w:rsidR="002C5A51">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2C5A51" w:rsidRDefault="002C5A51">
            <w:pPr>
              <w:keepLines/>
              <w:widowControl/>
              <w:spacing w:line="230" w:lineRule="exact"/>
              <w:jc w:val="left"/>
              <w:rPr>
                <w:rFonts w:ascii="宋体" w:eastAsia="宋体" w:hAnsi="宋体" w:cs="宋体"/>
                <w:kern w:val="0"/>
                <w:szCs w:val="21"/>
              </w:rPr>
            </w:pPr>
          </w:p>
        </w:tc>
        <w:tc>
          <w:tcPr>
            <w:tcW w:w="709" w:type="dxa"/>
            <w:vMerge/>
            <w:tcBorders>
              <w:top w:val="single" w:sz="4" w:space="0" w:color="auto"/>
              <w:left w:val="nil"/>
              <w:bottom w:val="single" w:sz="4" w:space="0" w:color="000000"/>
              <w:right w:val="single" w:sz="4" w:space="0" w:color="auto"/>
            </w:tcBorders>
            <w:tcMar>
              <w:left w:w="0" w:type="dxa"/>
              <w:right w:w="0" w:type="dxa"/>
            </w:tcMar>
            <w:vAlign w:val="center"/>
          </w:tcPr>
          <w:p w:rsidR="002C5A51" w:rsidRDefault="002C5A51">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tcPr>
          <w:p w:rsidR="002C5A51" w:rsidRDefault="002C5A51">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2C5A51" w:rsidRDefault="004E03A4">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工作质量达标率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2021年末</w:t>
            </w:r>
          </w:p>
        </w:tc>
      </w:tr>
      <w:tr w:rsidR="002C5A51">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2C5A51" w:rsidRDefault="002C5A51">
            <w:pPr>
              <w:keepLines/>
              <w:widowControl/>
              <w:spacing w:line="230" w:lineRule="exact"/>
              <w:jc w:val="left"/>
              <w:rPr>
                <w:rFonts w:ascii="宋体" w:eastAsia="宋体" w:hAnsi="宋体" w:cs="宋体"/>
                <w:kern w:val="0"/>
                <w:szCs w:val="21"/>
              </w:rPr>
            </w:pPr>
          </w:p>
        </w:tc>
        <w:tc>
          <w:tcPr>
            <w:tcW w:w="709" w:type="dxa"/>
            <w:vMerge/>
            <w:tcBorders>
              <w:top w:val="single" w:sz="4" w:space="0" w:color="auto"/>
              <w:left w:val="nil"/>
              <w:bottom w:val="single" w:sz="4" w:space="0" w:color="000000"/>
              <w:right w:val="single" w:sz="4" w:space="0" w:color="auto"/>
            </w:tcBorders>
            <w:tcMar>
              <w:left w:w="0" w:type="dxa"/>
              <w:right w:w="0" w:type="dxa"/>
            </w:tcMar>
            <w:vAlign w:val="center"/>
          </w:tcPr>
          <w:p w:rsidR="002C5A51" w:rsidRDefault="002C5A51">
            <w:pPr>
              <w:keepLines/>
              <w:widowControl/>
              <w:spacing w:line="230" w:lineRule="exact"/>
              <w:jc w:val="left"/>
              <w:rPr>
                <w:rFonts w:ascii="宋体" w:eastAsia="宋体" w:hAnsi="宋体" w:cs="宋体"/>
                <w:kern w:val="0"/>
                <w:szCs w:val="21"/>
              </w:rPr>
            </w:pPr>
          </w:p>
        </w:tc>
        <w:tc>
          <w:tcPr>
            <w:tcW w:w="1417" w:type="dxa"/>
            <w:vMerge w:val="restart"/>
            <w:tcBorders>
              <w:top w:val="nil"/>
              <w:left w:val="single" w:sz="4" w:space="0" w:color="auto"/>
              <w:bottom w:val="single" w:sz="4" w:space="0" w:color="000000"/>
              <w:right w:val="single" w:sz="4" w:space="0" w:color="auto"/>
            </w:tcBorders>
            <w:shd w:val="clear" w:color="auto" w:fill="auto"/>
            <w:noWrap/>
            <w:tcMar>
              <w:left w:w="0" w:type="dxa"/>
              <w:right w:w="0" w:type="dxa"/>
            </w:tcMar>
            <w:vAlign w:val="center"/>
          </w:tcPr>
          <w:p w:rsidR="002C5A51" w:rsidRDefault="004E03A4">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基础管理</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2C5A51" w:rsidRDefault="004E03A4">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依法行政能力</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大幅提升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2021年末</w:t>
            </w:r>
          </w:p>
        </w:tc>
      </w:tr>
      <w:tr w:rsidR="002C5A51">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2C5A51" w:rsidRDefault="002C5A51">
            <w:pPr>
              <w:keepLines/>
              <w:widowControl/>
              <w:spacing w:line="230" w:lineRule="exact"/>
              <w:jc w:val="left"/>
              <w:rPr>
                <w:rFonts w:ascii="宋体" w:eastAsia="宋体" w:hAnsi="宋体" w:cs="宋体"/>
                <w:kern w:val="0"/>
                <w:szCs w:val="21"/>
              </w:rPr>
            </w:pPr>
          </w:p>
        </w:tc>
        <w:tc>
          <w:tcPr>
            <w:tcW w:w="709" w:type="dxa"/>
            <w:vMerge/>
            <w:tcBorders>
              <w:top w:val="single" w:sz="4" w:space="0" w:color="auto"/>
              <w:left w:val="nil"/>
              <w:bottom w:val="single" w:sz="4" w:space="0" w:color="000000"/>
              <w:right w:val="single" w:sz="4" w:space="0" w:color="auto"/>
            </w:tcBorders>
            <w:tcMar>
              <w:left w:w="0" w:type="dxa"/>
              <w:right w:w="0" w:type="dxa"/>
            </w:tcMar>
            <w:vAlign w:val="center"/>
          </w:tcPr>
          <w:p w:rsidR="002C5A51" w:rsidRDefault="002C5A51">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tcPr>
          <w:p w:rsidR="002C5A51" w:rsidRDefault="002C5A51">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2C5A51" w:rsidRDefault="004E03A4">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综合管理水平</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大幅提高</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2021年末</w:t>
            </w:r>
          </w:p>
        </w:tc>
      </w:tr>
      <w:tr w:rsidR="002C5A51">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2C5A51" w:rsidRDefault="002C5A51">
            <w:pPr>
              <w:keepLines/>
              <w:widowControl/>
              <w:spacing w:line="230" w:lineRule="exact"/>
              <w:jc w:val="left"/>
              <w:rPr>
                <w:rFonts w:ascii="宋体" w:eastAsia="宋体" w:hAnsi="宋体" w:cs="宋体"/>
                <w:kern w:val="0"/>
                <w:szCs w:val="21"/>
              </w:rPr>
            </w:pPr>
          </w:p>
        </w:tc>
        <w:tc>
          <w:tcPr>
            <w:tcW w:w="709" w:type="dxa"/>
            <w:vMerge w:val="restart"/>
            <w:tcBorders>
              <w:top w:val="nil"/>
              <w:left w:val="nil"/>
              <w:bottom w:val="single" w:sz="4" w:space="0" w:color="000000"/>
              <w:right w:val="single" w:sz="4" w:space="0" w:color="auto"/>
            </w:tcBorders>
            <w:shd w:val="clear" w:color="auto" w:fill="auto"/>
            <w:noWrap/>
            <w:tcMar>
              <w:left w:w="0" w:type="dxa"/>
              <w:right w:w="0" w:type="dxa"/>
            </w:tcMar>
            <w:vAlign w:val="center"/>
          </w:tcPr>
          <w:p w:rsidR="002C5A51" w:rsidRDefault="004E03A4">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预算执行</w:t>
            </w:r>
          </w:p>
        </w:tc>
        <w:tc>
          <w:tcPr>
            <w:tcW w:w="1417" w:type="dxa"/>
            <w:vMerge w:val="restart"/>
            <w:tcBorders>
              <w:top w:val="nil"/>
              <w:left w:val="single" w:sz="4" w:space="0" w:color="auto"/>
              <w:bottom w:val="single" w:sz="4" w:space="0" w:color="000000"/>
              <w:right w:val="single" w:sz="4" w:space="0" w:color="auto"/>
            </w:tcBorders>
            <w:shd w:val="clear" w:color="auto" w:fill="auto"/>
            <w:noWrap/>
            <w:tcMar>
              <w:left w:w="0" w:type="dxa"/>
              <w:right w:w="0" w:type="dxa"/>
            </w:tcMar>
            <w:vAlign w:val="center"/>
          </w:tcPr>
          <w:p w:rsidR="002C5A51" w:rsidRDefault="004E03A4">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预算执行效率</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2C5A51" w:rsidRDefault="004E03A4">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预算执行率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2021年末</w:t>
            </w:r>
          </w:p>
        </w:tc>
      </w:tr>
      <w:tr w:rsidR="002C5A51">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2C5A51" w:rsidRDefault="002C5A51">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2C5A51" w:rsidRDefault="002C5A51">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tcPr>
          <w:p w:rsidR="002C5A51" w:rsidRDefault="002C5A51">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2C5A51" w:rsidRDefault="004E03A4">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预算调整率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5</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2021年末</w:t>
            </w:r>
          </w:p>
        </w:tc>
      </w:tr>
      <w:tr w:rsidR="002C5A51">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2C5A51" w:rsidRDefault="002C5A51">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2C5A51" w:rsidRDefault="002C5A51">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tcPr>
          <w:p w:rsidR="002C5A51" w:rsidRDefault="002C5A51">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2C5A51" w:rsidRDefault="004E03A4">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结余结转变动率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2021年末</w:t>
            </w:r>
          </w:p>
        </w:tc>
      </w:tr>
      <w:tr w:rsidR="002C5A51">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2C5A51" w:rsidRDefault="002C5A51">
            <w:pPr>
              <w:keepLines/>
              <w:widowControl/>
              <w:spacing w:line="230" w:lineRule="exact"/>
              <w:jc w:val="left"/>
              <w:rPr>
                <w:rFonts w:ascii="宋体" w:eastAsia="宋体" w:hAnsi="宋体" w:cs="宋体"/>
                <w:kern w:val="0"/>
                <w:szCs w:val="21"/>
              </w:rPr>
            </w:pPr>
          </w:p>
        </w:tc>
        <w:tc>
          <w:tcPr>
            <w:tcW w:w="709" w:type="dxa"/>
            <w:vMerge w:val="restart"/>
            <w:tcBorders>
              <w:top w:val="nil"/>
              <w:left w:val="nil"/>
              <w:bottom w:val="single" w:sz="4" w:space="0" w:color="000000"/>
              <w:right w:val="single" w:sz="4" w:space="0" w:color="auto"/>
            </w:tcBorders>
            <w:shd w:val="clear" w:color="auto" w:fill="auto"/>
            <w:noWrap/>
            <w:tcMar>
              <w:left w:w="0" w:type="dxa"/>
              <w:right w:w="0" w:type="dxa"/>
            </w:tcMar>
            <w:vAlign w:val="center"/>
          </w:tcPr>
          <w:p w:rsidR="002C5A51" w:rsidRDefault="004E03A4">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管理效率</w:t>
            </w: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tcPr>
          <w:p w:rsidR="002C5A51" w:rsidRDefault="004E03A4">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预算编制管理</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2C5A51" w:rsidRDefault="004E03A4">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预算绩效目标覆盖率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2021年末</w:t>
            </w:r>
          </w:p>
        </w:tc>
      </w:tr>
      <w:tr w:rsidR="002C5A51">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2C5A51" w:rsidRDefault="002C5A51">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2C5A51" w:rsidRDefault="002C5A51">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tcPr>
          <w:p w:rsidR="002C5A51" w:rsidRDefault="004E03A4">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预算监督管理</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2C5A51" w:rsidRDefault="004E03A4">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预决算公开情况</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及时公开</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2021年末</w:t>
            </w:r>
          </w:p>
        </w:tc>
      </w:tr>
      <w:tr w:rsidR="002C5A51">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2C5A51" w:rsidRDefault="002C5A51">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2C5A51" w:rsidRDefault="002C5A51">
            <w:pPr>
              <w:keepLines/>
              <w:widowControl/>
              <w:spacing w:line="230" w:lineRule="exact"/>
              <w:jc w:val="left"/>
              <w:rPr>
                <w:rFonts w:ascii="宋体" w:eastAsia="宋体" w:hAnsi="宋体" w:cs="宋体"/>
                <w:kern w:val="0"/>
                <w:szCs w:val="21"/>
              </w:rPr>
            </w:pPr>
          </w:p>
        </w:tc>
        <w:tc>
          <w:tcPr>
            <w:tcW w:w="1417" w:type="dxa"/>
            <w:vMerge w:val="restart"/>
            <w:tcBorders>
              <w:top w:val="nil"/>
              <w:left w:val="single" w:sz="4" w:space="0" w:color="auto"/>
              <w:bottom w:val="single" w:sz="4" w:space="0" w:color="000000"/>
              <w:right w:val="single" w:sz="4" w:space="0" w:color="auto"/>
            </w:tcBorders>
            <w:shd w:val="clear" w:color="auto" w:fill="auto"/>
            <w:noWrap/>
            <w:tcMar>
              <w:left w:w="0" w:type="dxa"/>
              <w:right w:w="0" w:type="dxa"/>
            </w:tcMar>
            <w:vAlign w:val="center"/>
          </w:tcPr>
          <w:p w:rsidR="002C5A51" w:rsidRDefault="004E03A4">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预算收支管理</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2C5A51" w:rsidRDefault="004E03A4">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预算收入管理规范性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严格执行</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2021年末</w:t>
            </w:r>
          </w:p>
        </w:tc>
      </w:tr>
      <w:tr w:rsidR="002C5A51">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2C5A51" w:rsidRDefault="002C5A51">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2C5A51" w:rsidRDefault="002C5A51">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tcPr>
          <w:p w:rsidR="002C5A51" w:rsidRDefault="002C5A51">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2C5A51" w:rsidRDefault="004E03A4">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预算支出管理规范性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管理规范</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2021年末</w:t>
            </w:r>
          </w:p>
        </w:tc>
      </w:tr>
      <w:tr w:rsidR="002C5A51">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2C5A51" w:rsidRDefault="002C5A51">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2C5A51" w:rsidRDefault="002C5A51">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tcPr>
          <w:p w:rsidR="002C5A51" w:rsidRDefault="004E03A4">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财务管理</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2C5A51" w:rsidRDefault="004E03A4">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内控制度有效性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制度有效</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2021年末</w:t>
            </w:r>
          </w:p>
        </w:tc>
      </w:tr>
      <w:tr w:rsidR="002C5A51">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2C5A51" w:rsidRDefault="002C5A51">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2C5A51" w:rsidRDefault="002C5A51">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tcPr>
          <w:p w:rsidR="002C5A51" w:rsidRDefault="004E03A4">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资产管理</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2C5A51" w:rsidRDefault="004E03A4">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固定资产利用率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2021年末</w:t>
            </w:r>
          </w:p>
        </w:tc>
      </w:tr>
      <w:tr w:rsidR="002C5A51">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2C5A51" w:rsidRDefault="002C5A51">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2C5A51" w:rsidRDefault="002C5A51">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tcPr>
          <w:p w:rsidR="002C5A51" w:rsidRDefault="004E03A4">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业务管理</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2C5A51" w:rsidRDefault="004E03A4">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政府采购管理违法违规行为发生次数</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次</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2021年末</w:t>
            </w:r>
          </w:p>
        </w:tc>
      </w:tr>
      <w:tr w:rsidR="002C5A51">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2C5A51" w:rsidRDefault="002C5A51">
            <w:pPr>
              <w:keepLines/>
              <w:widowControl/>
              <w:spacing w:line="230" w:lineRule="exact"/>
              <w:jc w:val="left"/>
              <w:rPr>
                <w:rFonts w:ascii="宋体" w:eastAsia="宋体" w:hAnsi="宋体" w:cs="宋体"/>
                <w:kern w:val="0"/>
                <w:szCs w:val="21"/>
              </w:rPr>
            </w:pPr>
          </w:p>
        </w:tc>
        <w:tc>
          <w:tcPr>
            <w:tcW w:w="709" w:type="dxa"/>
            <w:vMerge w:val="restart"/>
            <w:tcBorders>
              <w:top w:val="nil"/>
              <w:left w:val="nil"/>
              <w:bottom w:val="single" w:sz="4" w:space="0" w:color="000000"/>
              <w:right w:val="single" w:sz="4" w:space="0" w:color="auto"/>
            </w:tcBorders>
            <w:shd w:val="clear" w:color="auto" w:fill="auto"/>
            <w:noWrap/>
            <w:tcMar>
              <w:left w:w="0" w:type="dxa"/>
              <w:right w:w="0" w:type="dxa"/>
            </w:tcMar>
            <w:vAlign w:val="center"/>
          </w:tcPr>
          <w:p w:rsidR="002C5A51" w:rsidRDefault="004E03A4">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运行成本</w:t>
            </w:r>
          </w:p>
        </w:tc>
        <w:tc>
          <w:tcPr>
            <w:tcW w:w="1417" w:type="dxa"/>
            <w:vMerge w:val="restart"/>
            <w:tcBorders>
              <w:top w:val="nil"/>
              <w:left w:val="single" w:sz="4" w:space="0" w:color="auto"/>
              <w:bottom w:val="single" w:sz="4" w:space="0" w:color="000000"/>
              <w:right w:val="single" w:sz="4" w:space="0" w:color="auto"/>
            </w:tcBorders>
            <w:shd w:val="clear" w:color="auto" w:fill="auto"/>
            <w:noWrap/>
            <w:tcMar>
              <w:left w:w="0" w:type="dxa"/>
              <w:right w:w="0" w:type="dxa"/>
            </w:tcMar>
            <w:vAlign w:val="center"/>
          </w:tcPr>
          <w:p w:rsidR="002C5A51" w:rsidRDefault="004E03A4">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成本控制成效</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2C5A51" w:rsidRDefault="004E03A4">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“三公”经费变动率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2021年末</w:t>
            </w:r>
          </w:p>
        </w:tc>
      </w:tr>
      <w:tr w:rsidR="002C5A51">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2C5A51" w:rsidRDefault="002C5A51">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2C5A51" w:rsidRDefault="002C5A51">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tcPr>
          <w:p w:rsidR="002C5A51" w:rsidRDefault="002C5A51">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2C5A51" w:rsidRDefault="004E03A4">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在职人员控制率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2021年末</w:t>
            </w:r>
          </w:p>
        </w:tc>
      </w:tr>
      <w:tr w:rsidR="002C5A51">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2C5A51" w:rsidRDefault="002C5A51">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2C5A51" w:rsidRDefault="002C5A51">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tcPr>
          <w:p w:rsidR="002C5A51" w:rsidRDefault="002C5A51">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2C5A51" w:rsidRDefault="004E03A4">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人均公用经费变动率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2021年末</w:t>
            </w:r>
          </w:p>
        </w:tc>
      </w:tr>
      <w:tr w:rsidR="002C5A51">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2C5A51" w:rsidRDefault="002C5A51">
            <w:pPr>
              <w:keepLines/>
              <w:widowControl/>
              <w:spacing w:line="230" w:lineRule="exact"/>
              <w:jc w:val="left"/>
              <w:rPr>
                <w:rFonts w:ascii="宋体" w:eastAsia="宋体" w:hAnsi="宋体" w:cs="宋体"/>
                <w:kern w:val="0"/>
                <w:szCs w:val="21"/>
              </w:rPr>
            </w:pPr>
          </w:p>
        </w:tc>
        <w:tc>
          <w:tcPr>
            <w:tcW w:w="709" w:type="dxa"/>
            <w:vMerge w:val="restart"/>
            <w:tcBorders>
              <w:top w:val="nil"/>
              <w:left w:val="nil"/>
              <w:bottom w:val="single" w:sz="4" w:space="0" w:color="000000"/>
              <w:right w:val="single" w:sz="4" w:space="0" w:color="auto"/>
            </w:tcBorders>
            <w:shd w:val="clear" w:color="auto" w:fill="auto"/>
            <w:noWrap/>
            <w:tcMar>
              <w:left w:w="0" w:type="dxa"/>
              <w:right w:w="0" w:type="dxa"/>
            </w:tcMar>
            <w:vAlign w:val="center"/>
          </w:tcPr>
          <w:p w:rsidR="002C5A51" w:rsidRDefault="004E03A4">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社会效应</w:t>
            </w: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tcPr>
          <w:p w:rsidR="002C5A51" w:rsidRDefault="004E03A4">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政治效益</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2C5A51" w:rsidRDefault="004E03A4">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r>
      <w:tr w:rsidR="002C5A51">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2C5A51" w:rsidRDefault="002C5A51">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2C5A51" w:rsidRDefault="002C5A51">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tcPr>
          <w:p w:rsidR="002C5A51" w:rsidRDefault="004E03A4">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社会效益</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2C5A51" w:rsidRDefault="004E03A4">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会计从业人员资格覆盖率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90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2021年末</w:t>
            </w:r>
          </w:p>
        </w:tc>
      </w:tr>
      <w:tr w:rsidR="002C5A51">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2C5A51" w:rsidRDefault="002C5A51">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2C5A51" w:rsidRDefault="002C5A51">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tcPr>
          <w:p w:rsidR="002C5A51" w:rsidRDefault="004E03A4">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经济效益</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2C5A51" w:rsidRDefault="004E03A4">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noWrap/>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r>
      <w:tr w:rsidR="002C5A51">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2C5A51" w:rsidRDefault="002C5A51">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2C5A51" w:rsidRDefault="002C5A51">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tcPr>
          <w:p w:rsidR="002C5A51" w:rsidRDefault="004E03A4">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生态效益</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2C5A51" w:rsidRDefault="004E03A4">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noWrap/>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r>
      <w:tr w:rsidR="002C5A51">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2C5A51" w:rsidRDefault="002C5A51">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2C5A51" w:rsidRDefault="002C5A51">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tcPr>
          <w:p w:rsidR="002C5A51" w:rsidRDefault="004E03A4">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服务对象满意度</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2C5A51" w:rsidRDefault="004E03A4">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政府直属部门职工总体满意度</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90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2021年末</w:t>
            </w:r>
          </w:p>
        </w:tc>
      </w:tr>
      <w:tr w:rsidR="002C5A51">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2C5A51" w:rsidRDefault="002C5A51">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2C5A51" w:rsidRDefault="002C5A51">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tcPr>
          <w:p w:rsidR="002C5A51" w:rsidRDefault="004E03A4">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社会公众满意度</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2C5A51" w:rsidRDefault="004E03A4">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参考考生满意度</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90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2021年末</w:t>
            </w:r>
          </w:p>
        </w:tc>
      </w:tr>
      <w:tr w:rsidR="002C5A51">
        <w:trPr>
          <w:trHeight w:val="285"/>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2C5A51" w:rsidRDefault="002C5A51">
            <w:pPr>
              <w:keepLines/>
              <w:widowControl/>
              <w:spacing w:line="230" w:lineRule="exact"/>
              <w:jc w:val="left"/>
              <w:rPr>
                <w:rFonts w:ascii="宋体" w:eastAsia="宋体" w:hAnsi="宋体" w:cs="宋体"/>
                <w:kern w:val="0"/>
                <w:szCs w:val="21"/>
              </w:rPr>
            </w:pP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2C5A51" w:rsidRDefault="004E03A4">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可持续性</w:t>
            </w: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tcPr>
          <w:p w:rsidR="002C5A51" w:rsidRDefault="004E03A4">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体制机制改革</w:t>
            </w: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tcPr>
          <w:p w:rsidR="002C5A51" w:rsidRDefault="004E03A4">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按人事部门规定完成</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严格完成</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2021年末</w:t>
            </w:r>
          </w:p>
        </w:tc>
      </w:tr>
    </w:tbl>
    <w:p w:rsidR="002C5A51" w:rsidRDefault="002C5A51"/>
    <w:p w:rsidR="002C5A51" w:rsidRDefault="004E03A4">
      <w:pPr>
        <w:jc w:val="center"/>
        <w:rPr>
          <w:rFonts w:ascii="宋体" w:hAnsi="宋体"/>
          <w:b/>
          <w:sz w:val="36"/>
          <w:szCs w:val="36"/>
        </w:rPr>
      </w:pPr>
      <w:r>
        <w:rPr>
          <w:rFonts w:ascii="宋体" w:hAnsi="宋体" w:hint="eastAsia"/>
          <w:b/>
          <w:sz w:val="36"/>
          <w:szCs w:val="36"/>
        </w:rPr>
        <w:lastRenderedPageBreak/>
        <w:t>第四部分 名词解释</w:t>
      </w:r>
    </w:p>
    <w:p w:rsidR="002C5A51" w:rsidRDefault="002C5A51">
      <w:pPr>
        <w:jc w:val="center"/>
        <w:rPr>
          <w:rFonts w:ascii="黑体" w:eastAsia="黑体"/>
          <w:sz w:val="36"/>
          <w:szCs w:val="36"/>
        </w:rPr>
      </w:pPr>
    </w:p>
    <w:p w:rsidR="002C5A51" w:rsidRDefault="004E03A4">
      <w:pPr>
        <w:ind w:firstLineChars="200" w:firstLine="643"/>
        <w:jc w:val="left"/>
        <w:rPr>
          <w:rFonts w:ascii="仿宋_GB2312" w:eastAsia="仿宋_GB2312"/>
          <w:sz w:val="32"/>
          <w:szCs w:val="32"/>
        </w:rPr>
      </w:pPr>
      <w:r>
        <w:rPr>
          <w:rFonts w:ascii="仿宋_GB2312" w:eastAsia="仿宋_GB2312" w:hint="eastAsia"/>
          <w:b/>
          <w:sz w:val="32"/>
          <w:szCs w:val="32"/>
        </w:rPr>
        <w:t>1.财政拨款收入：</w:t>
      </w:r>
      <w:r>
        <w:rPr>
          <w:rFonts w:ascii="仿宋_GB2312" w:eastAsia="仿宋_GB2312" w:hint="eastAsia"/>
          <w:sz w:val="32"/>
          <w:szCs w:val="32"/>
        </w:rPr>
        <w:t>指市级财政当年拨付的资金。</w:t>
      </w:r>
    </w:p>
    <w:p w:rsidR="002C5A51" w:rsidRDefault="004E03A4">
      <w:pPr>
        <w:ind w:firstLineChars="200" w:firstLine="643"/>
        <w:jc w:val="left"/>
        <w:rPr>
          <w:rFonts w:ascii="仿宋_GB2312" w:eastAsia="仿宋_GB2312"/>
          <w:sz w:val="32"/>
          <w:szCs w:val="32"/>
        </w:rPr>
      </w:pPr>
      <w:r>
        <w:rPr>
          <w:rFonts w:ascii="仿宋_GB2312" w:eastAsia="仿宋_GB2312" w:hint="eastAsia"/>
          <w:b/>
          <w:sz w:val="32"/>
          <w:szCs w:val="32"/>
        </w:rPr>
        <w:t>2.基本支出：</w:t>
      </w:r>
      <w:proofErr w:type="gramStart"/>
      <w:r>
        <w:rPr>
          <w:rFonts w:ascii="仿宋_GB2312" w:eastAsia="仿宋_GB2312" w:hint="eastAsia"/>
          <w:sz w:val="32"/>
          <w:szCs w:val="32"/>
        </w:rPr>
        <w:t>指保障</w:t>
      </w:r>
      <w:proofErr w:type="gramEnd"/>
      <w:r>
        <w:rPr>
          <w:rFonts w:ascii="仿宋_GB2312" w:eastAsia="仿宋_GB2312" w:hint="eastAsia"/>
          <w:sz w:val="32"/>
          <w:szCs w:val="32"/>
        </w:rPr>
        <w:t>机构正常运转、完成日常工作任务而发生的人员支出和公用支出。</w:t>
      </w:r>
    </w:p>
    <w:p w:rsidR="002C5A51" w:rsidRDefault="004E03A4">
      <w:pPr>
        <w:ind w:firstLineChars="200" w:firstLine="643"/>
        <w:jc w:val="left"/>
        <w:rPr>
          <w:rFonts w:ascii="仿宋_GB2312" w:eastAsia="仿宋_GB2312"/>
          <w:b/>
          <w:sz w:val="32"/>
          <w:szCs w:val="32"/>
        </w:rPr>
      </w:pPr>
      <w:r>
        <w:rPr>
          <w:rFonts w:ascii="仿宋_GB2312" w:eastAsia="仿宋_GB2312" w:hint="eastAsia"/>
          <w:b/>
          <w:sz w:val="32"/>
          <w:szCs w:val="32"/>
        </w:rPr>
        <w:t>3.项目支出：</w:t>
      </w:r>
      <w:r>
        <w:rPr>
          <w:rFonts w:ascii="仿宋_GB2312" w:eastAsia="仿宋_GB2312" w:hint="eastAsia"/>
          <w:sz w:val="32"/>
          <w:szCs w:val="32"/>
        </w:rPr>
        <w:t>指在基本支出之外为完成特定行政任务和事业发展目标所发生的支出。</w:t>
      </w:r>
    </w:p>
    <w:p w:rsidR="002C5A51" w:rsidRDefault="004E03A4">
      <w:pPr>
        <w:ind w:firstLineChars="200" w:firstLine="643"/>
        <w:rPr>
          <w:rFonts w:ascii="仿宋_GB2312" w:eastAsia="仿宋_GB2312"/>
          <w:sz w:val="32"/>
          <w:szCs w:val="32"/>
        </w:rPr>
      </w:pPr>
      <w:r>
        <w:rPr>
          <w:rFonts w:ascii="仿宋_GB2312" w:eastAsia="仿宋_GB2312" w:hint="eastAsia"/>
          <w:b/>
          <w:sz w:val="32"/>
        </w:rPr>
        <w:t>4.机关运行经费：</w:t>
      </w:r>
      <w:r>
        <w:rPr>
          <w:rFonts w:ascii="仿宋_GB2312" w:eastAsia="仿宋_GB2312" w:hint="eastAsia"/>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2C5A51" w:rsidRDefault="004E03A4">
      <w:pPr>
        <w:ind w:firstLineChars="200" w:firstLine="643"/>
        <w:jc w:val="left"/>
        <w:rPr>
          <w:rFonts w:ascii="仿宋_GB2312" w:eastAsia="仿宋_GB2312"/>
          <w:b/>
          <w:sz w:val="32"/>
          <w:szCs w:val="32"/>
        </w:rPr>
      </w:pPr>
      <w:r>
        <w:rPr>
          <w:rFonts w:ascii="仿宋_GB2312" w:eastAsia="仿宋_GB2312" w:hint="eastAsia"/>
          <w:b/>
          <w:sz w:val="32"/>
          <w:szCs w:val="32"/>
        </w:rPr>
        <w:t>5.行政事业性收费收入：</w:t>
      </w:r>
      <w:r>
        <w:rPr>
          <w:rFonts w:ascii="仿宋_GB2312" w:eastAsia="仿宋_GB2312" w:hint="eastAsia"/>
          <w:sz w:val="32"/>
          <w:szCs w:val="32"/>
        </w:rPr>
        <w:t>指依据法律、行政法规、国务院有关规定、国务院财政部门会同价格主管部门共同发布的规章或者规定，省、自治区、直辖市人民政府财政部门会同价格主管部门共同发布的规定所收取的各项收费收入。</w:t>
      </w:r>
    </w:p>
    <w:p w:rsidR="002C5A51" w:rsidRDefault="004E03A4">
      <w:pPr>
        <w:ind w:firstLineChars="200" w:firstLine="643"/>
        <w:jc w:val="left"/>
        <w:rPr>
          <w:rFonts w:ascii="仿宋_GB2312" w:eastAsia="仿宋_GB2312"/>
          <w:b/>
          <w:sz w:val="32"/>
          <w:szCs w:val="32"/>
        </w:rPr>
      </w:pPr>
      <w:bookmarkStart w:id="1" w:name="OLE_LINK1"/>
      <w:r>
        <w:rPr>
          <w:rFonts w:ascii="仿宋_GB2312" w:eastAsia="仿宋_GB2312" w:hint="eastAsia"/>
          <w:b/>
          <w:sz w:val="32"/>
          <w:szCs w:val="32"/>
        </w:rPr>
        <w:t>6.政府性基金收入</w:t>
      </w:r>
      <w:bookmarkEnd w:id="1"/>
      <w:r>
        <w:rPr>
          <w:rFonts w:ascii="仿宋_GB2312" w:eastAsia="仿宋_GB2312" w:hint="eastAsia"/>
          <w:b/>
          <w:sz w:val="32"/>
          <w:szCs w:val="32"/>
        </w:rPr>
        <w:t>：</w:t>
      </w:r>
      <w:r>
        <w:rPr>
          <w:rFonts w:ascii="仿宋_GB2312" w:eastAsia="仿宋_GB2312" w:hint="eastAsia"/>
          <w:sz w:val="32"/>
          <w:szCs w:val="32"/>
        </w:rPr>
        <w:t>反应各级政府及其所属部门根据法律、行政法规规定并经国务院或财政部批准，向公民、法人和其他组织征收的政府性基金，以及参照政府性基金管理或纳入基金预算、具有特定用途的财政资金。</w:t>
      </w:r>
    </w:p>
    <w:p w:rsidR="002C5A51" w:rsidRDefault="004E03A4">
      <w:pPr>
        <w:ind w:firstLineChars="200" w:firstLine="643"/>
        <w:jc w:val="left"/>
        <w:rPr>
          <w:rFonts w:ascii="仿宋_GB2312" w:eastAsia="仿宋_GB2312"/>
          <w:sz w:val="32"/>
          <w:szCs w:val="32"/>
        </w:rPr>
      </w:pPr>
      <w:r>
        <w:rPr>
          <w:rFonts w:ascii="仿宋_GB2312" w:eastAsia="仿宋_GB2312" w:hint="eastAsia"/>
          <w:b/>
          <w:sz w:val="32"/>
          <w:szCs w:val="32"/>
        </w:rPr>
        <w:t>7.其他收入：</w:t>
      </w:r>
      <w:r>
        <w:rPr>
          <w:rFonts w:ascii="仿宋_GB2312" w:eastAsia="仿宋_GB2312" w:hint="eastAsia"/>
          <w:sz w:val="32"/>
          <w:szCs w:val="32"/>
        </w:rPr>
        <w:t>指除上述“财政拨款收入”、“行政事业性收费收入”、“政府性基金收入”以外的收入。</w:t>
      </w:r>
    </w:p>
    <w:p w:rsidR="002C5A51" w:rsidRDefault="004E03A4">
      <w:pPr>
        <w:ind w:firstLineChars="200" w:firstLine="643"/>
        <w:jc w:val="left"/>
        <w:rPr>
          <w:rFonts w:ascii="仿宋_GB2312" w:eastAsia="仿宋_GB2312"/>
          <w:sz w:val="32"/>
          <w:szCs w:val="32"/>
        </w:rPr>
      </w:pPr>
      <w:r>
        <w:rPr>
          <w:rFonts w:ascii="仿宋_GB2312" w:eastAsia="仿宋_GB2312" w:hint="eastAsia"/>
          <w:b/>
          <w:sz w:val="32"/>
          <w:szCs w:val="32"/>
        </w:rPr>
        <w:lastRenderedPageBreak/>
        <w:t>8.“三公”经费</w:t>
      </w:r>
      <w:r>
        <w:rPr>
          <w:rFonts w:ascii="仿宋_GB2312" w:eastAsia="仿宋_GB2312" w:hint="eastAsia"/>
          <w:sz w:val="32"/>
          <w:szCs w:val="32"/>
        </w:rPr>
        <w:t>：指用财政拨款安排的因公出国（境）费、公务用车购置及运行费和公务接待费。其中，因公出国（境）</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单位公务出国（境）的国际旅费、国外城市间交通费、住宿费、伙食费、培训费、公杂费等支出；公务用车购置及运行</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单位公务用车购置费及燃料费、维修费、过桥过路费、保险费、安全奖励费用等支出；公务接待</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单位按规定开支的各类公务接待（含外宾接待）费用。</w:t>
      </w:r>
    </w:p>
    <w:p w:rsidR="002C5A51" w:rsidRDefault="004E03A4">
      <w:pPr>
        <w:ind w:firstLineChars="200" w:firstLine="643"/>
        <w:jc w:val="left"/>
        <w:rPr>
          <w:rFonts w:ascii="仿宋_GB2312" w:eastAsia="仿宋_GB2312"/>
          <w:sz w:val="32"/>
          <w:szCs w:val="32"/>
        </w:rPr>
      </w:pPr>
      <w:r>
        <w:rPr>
          <w:rFonts w:ascii="仿宋_GB2312" w:eastAsia="仿宋_GB2312" w:hint="eastAsia"/>
          <w:b/>
          <w:sz w:val="32"/>
          <w:szCs w:val="32"/>
        </w:rPr>
        <w:t>9.一般公共服务（类）财政事务（款）行政运行（项）：</w:t>
      </w:r>
      <w:r>
        <w:rPr>
          <w:rFonts w:ascii="仿宋_GB2312" w:eastAsia="仿宋_GB2312" w:hint="eastAsia"/>
          <w:sz w:val="32"/>
          <w:szCs w:val="32"/>
        </w:rPr>
        <w:t>反映行政单位（包括实行公务员管理的事业单位）的基本支出。</w:t>
      </w:r>
    </w:p>
    <w:p w:rsidR="002C5A51" w:rsidRDefault="004E03A4">
      <w:pPr>
        <w:ind w:firstLineChars="200" w:firstLine="643"/>
        <w:jc w:val="left"/>
        <w:rPr>
          <w:rFonts w:ascii="仿宋_GB2312" w:eastAsia="仿宋_GB2312"/>
          <w:sz w:val="32"/>
          <w:szCs w:val="32"/>
        </w:rPr>
      </w:pPr>
      <w:r>
        <w:rPr>
          <w:rFonts w:ascii="仿宋_GB2312" w:eastAsia="仿宋_GB2312" w:hint="eastAsia"/>
          <w:b/>
          <w:sz w:val="32"/>
          <w:szCs w:val="32"/>
        </w:rPr>
        <w:t>10.一般公共服务（类）财政事务（款）事业运行（项）：</w:t>
      </w:r>
      <w:r>
        <w:rPr>
          <w:rFonts w:ascii="仿宋_GB2312" w:eastAsia="仿宋_GB2312" w:hint="eastAsia"/>
          <w:sz w:val="32"/>
          <w:szCs w:val="32"/>
        </w:rPr>
        <w:t>反映事业单位的基本支出，不包括行政单位（包括实行公务员管理的事业单位）后勤服务中心、医务室等附属事业单位。</w:t>
      </w:r>
    </w:p>
    <w:p w:rsidR="002C5A51" w:rsidRDefault="004E03A4">
      <w:pPr>
        <w:ind w:firstLineChars="200" w:firstLine="643"/>
        <w:jc w:val="left"/>
        <w:rPr>
          <w:rFonts w:ascii="仿宋_GB2312" w:eastAsia="仿宋_GB2312"/>
          <w:sz w:val="32"/>
          <w:szCs w:val="32"/>
        </w:rPr>
      </w:pPr>
      <w:r>
        <w:rPr>
          <w:rFonts w:ascii="仿宋_GB2312" w:eastAsia="仿宋_GB2312" w:hint="eastAsia"/>
          <w:b/>
          <w:sz w:val="32"/>
          <w:szCs w:val="32"/>
        </w:rPr>
        <w:t>11.一般公共服务（类）财政事务（款）其他财政事务支出（项）：</w:t>
      </w:r>
      <w:r>
        <w:rPr>
          <w:rFonts w:ascii="仿宋_GB2312" w:eastAsia="仿宋_GB2312" w:hint="eastAsia"/>
          <w:sz w:val="32"/>
          <w:szCs w:val="32"/>
        </w:rPr>
        <w:t>反映除上述项目以外其他财政事务方面的支出。</w:t>
      </w:r>
    </w:p>
    <w:p w:rsidR="002C5A51" w:rsidRDefault="004E03A4">
      <w:pPr>
        <w:ind w:firstLineChars="200" w:firstLine="643"/>
        <w:jc w:val="left"/>
        <w:rPr>
          <w:rFonts w:ascii="仿宋_GB2312" w:eastAsia="仿宋_GB2312"/>
          <w:sz w:val="32"/>
          <w:szCs w:val="32"/>
        </w:rPr>
      </w:pPr>
      <w:r>
        <w:rPr>
          <w:rFonts w:ascii="仿宋_GB2312" w:eastAsia="仿宋_GB2312" w:hint="eastAsia"/>
          <w:b/>
          <w:sz w:val="32"/>
          <w:szCs w:val="32"/>
        </w:rPr>
        <w:t>12.社会保障和就业（类）行政事业单位离退休（款）归口管理的行政单位离退休（项）：</w:t>
      </w:r>
      <w:r>
        <w:rPr>
          <w:rFonts w:ascii="仿宋_GB2312" w:eastAsia="仿宋_GB2312" w:hint="eastAsia"/>
          <w:sz w:val="32"/>
          <w:szCs w:val="32"/>
        </w:rPr>
        <w:t>反映实行归口管理的行政单位（包括实行公务员管理的事业单位）开支的离退休经费。</w:t>
      </w:r>
    </w:p>
    <w:p w:rsidR="002C5A51" w:rsidRDefault="004E03A4">
      <w:pPr>
        <w:ind w:firstLineChars="200" w:firstLine="643"/>
        <w:jc w:val="left"/>
        <w:rPr>
          <w:rFonts w:ascii="仿宋_GB2312" w:eastAsia="仿宋_GB2312"/>
          <w:sz w:val="32"/>
          <w:szCs w:val="32"/>
        </w:rPr>
      </w:pPr>
      <w:r>
        <w:rPr>
          <w:rFonts w:ascii="仿宋_GB2312" w:eastAsia="仿宋_GB2312" w:hint="eastAsia"/>
          <w:b/>
          <w:sz w:val="32"/>
          <w:szCs w:val="32"/>
        </w:rPr>
        <w:t>13.社会保障和就业（类）行政事业单位离退休（款）事业单位离退休（项）：</w:t>
      </w:r>
      <w:r>
        <w:rPr>
          <w:rFonts w:ascii="仿宋_GB2312" w:eastAsia="仿宋_GB2312" w:hint="eastAsia"/>
          <w:sz w:val="32"/>
          <w:szCs w:val="32"/>
        </w:rPr>
        <w:t>反映实行归口管理的事业单位开支的离退休经费。</w:t>
      </w:r>
    </w:p>
    <w:p w:rsidR="002C5A51" w:rsidRDefault="004E03A4">
      <w:pPr>
        <w:ind w:firstLineChars="200" w:firstLine="643"/>
        <w:jc w:val="left"/>
      </w:pPr>
      <w:r>
        <w:rPr>
          <w:rFonts w:ascii="仿宋_GB2312" w:eastAsia="仿宋_GB2312" w:hint="eastAsia"/>
          <w:b/>
          <w:sz w:val="32"/>
          <w:szCs w:val="32"/>
        </w:rPr>
        <w:lastRenderedPageBreak/>
        <w:t>14.住房保障（类）住房改革（款）住房公积金（项）：</w:t>
      </w:r>
      <w:r>
        <w:rPr>
          <w:rFonts w:ascii="仿宋_GB2312" w:eastAsia="仿宋_GB2312" w:hint="eastAsia"/>
          <w:sz w:val="32"/>
          <w:szCs w:val="32"/>
        </w:rPr>
        <w:t>反映行政事业单位按人力资源和社会保障部、财政部规定的基本工资和津贴补贴以及规定比例为职工缴纳的住房公积金。</w:t>
      </w:r>
    </w:p>
    <w:sectPr w:rsidR="002C5A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1A9FD3"/>
    <w:multiLevelType w:val="singleLevel"/>
    <w:tmpl w:val="A31A9FD3"/>
    <w:lvl w:ilvl="0">
      <w:start w:val="1"/>
      <w:numFmt w:val="chineseCounting"/>
      <w:suff w:val="nothing"/>
      <w:lvlText w:val="%1、"/>
      <w:lvlJc w:val="left"/>
      <w:rPr>
        <w:rFonts w:hint="eastAsia"/>
      </w:rPr>
    </w:lvl>
  </w:abstractNum>
  <w:abstractNum w:abstractNumId="1">
    <w:nsid w:val="405A9A2B"/>
    <w:multiLevelType w:val="singleLevel"/>
    <w:tmpl w:val="405A9A2B"/>
    <w:lvl w:ilvl="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A6F"/>
    <w:rsid w:val="001770E9"/>
    <w:rsid w:val="00177A6F"/>
    <w:rsid w:val="002C5A51"/>
    <w:rsid w:val="00467FB6"/>
    <w:rsid w:val="004E03A4"/>
    <w:rsid w:val="00686DA1"/>
    <w:rsid w:val="007116C1"/>
    <w:rsid w:val="007F4D5A"/>
    <w:rsid w:val="008D7A97"/>
    <w:rsid w:val="00B218D5"/>
    <w:rsid w:val="00F27900"/>
    <w:rsid w:val="2F405ABA"/>
    <w:rsid w:val="477D68B2"/>
    <w:rsid w:val="508E7D89"/>
    <w:rsid w:val="61CC78AC"/>
    <w:rsid w:val="693C4BE6"/>
    <w:rsid w:val="74FB07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Pr>
      <w:b/>
      <w:bCs/>
    </w:rPr>
  </w:style>
  <w:style w:type="paragraph" w:styleId="a5">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Pr>
      <w:b/>
      <w:bCs/>
    </w:rPr>
  </w:style>
  <w:style w:type="paragraph" w:styleId="a5">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13</Pages>
  <Words>768</Words>
  <Characters>4384</Characters>
  <Application>Microsoft Office Word</Application>
  <DocSecurity>0</DocSecurity>
  <Lines>36</Lines>
  <Paragraphs>10</Paragraphs>
  <ScaleCrop>false</ScaleCrop>
  <Company>china</Company>
  <LinksUpToDate>false</LinksUpToDate>
  <CharactersWithSpaces>5142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cp:revision>
  <dcterms:created xsi:type="dcterms:W3CDTF">2021-06-10T06:12:00Z</dcterms:created>
  <dcterms:modified xsi:type="dcterms:W3CDTF">2022-09-11T02:12:00Z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53503381B76C4BAC8EC390F88AC1EDC3</vt:lpwstr>
  </property>
</Properties>
</file>