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CellSpacing w:w="7" w:type="dxa"/>
        <w:tblInd w:w="0" w:type="dxa"/>
        <w:shd w:val="clear" w:color="auto" w:fill="FFFFFF"/>
        <w:tblLayout w:type="autofit"/>
        <w:tblCellMar>
          <w:top w:w="0" w:type="dxa"/>
          <w:left w:w="0" w:type="dxa"/>
          <w:bottom w:w="0" w:type="dxa"/>
          <w:right w:w="0" w:type="dxa"/>
        </w:tblCellMar>
      </w:tblPr>
      <w:tblGrid>
        <w:gridCol w:w="8334"/>
      </w:tblGrid>
      <w:tr>
        <w:tblPrEx>
          <w:shd w:val="clear" w:color="auto" w:fill="FFFFFF"/>
          <w:tblCellMar>
            <w:top w:w="0" w:type="dxa"/>
            <w:left w:w="0" w:type="dxa"/>
            <w:bottom w:w="0" w:type="dxa"/>
            <w:right w:w="0" w:type="dxa"/>
          </w:tblCellMar>
        </w:tblPrEx>
        <w:trPr>
          <w:trHeight w:val="1050" w:hRule="atLeast"/>
          <w:tblCellSpacing w:w="7" w:type="dxa"/>
        </w:trPr>
        <w:tc>
          <w:tcPr>
            <w:tcW w:w="0" w:type="auto"/>
            <w:shd w:val="clear" w:color="auto" w:fill="FFFFFF"/>
            <w:vAlign w:val="center"/>
          </w:tcPr>
          <w:p>
            <w:pPr>
              <w:widowControl/>
              <w:spacing w:line="579" w:lineRule="exact"/>
              <w:jc w:val="center"/>
              <w:rPr>
                <w:rFonts w:cs="Times New Roman" w:asciiTheme="majorEastAsia" w:hAnsiTheme="majorEastAsia" w:eastAsiaTheme="majorEastAsia"/>
                <w:b/>
                <w:bCs/>
                <w:color w:val="333333"/>
                <w:kern w:val="0"/>
                <w:sz w:val="44"/>
                <w:szCs w:val="44"/>
              </w:rPr>
            </w:pPr>
            <w:r>
              <w:rPr>
                <w:rFonts w:cs="Times New Roman" w:asciiTheme="majorEastAsia" w:hAnsiTheme="majorEastAsia" w:eastAsiaTheme="majorEastAsia"/>
                <w:b/>
                <w:bCs/>
                <w:color w:val="333333"/>
                <w:kern w:val="0"/>
                <w:sz w:val="44"/>
                <w:szCs w:val="44"/>
              </w:rPr>
              <w:t>201</w:t>
            </w:r>
            <w:r>
              <w:rPr>
                <w:rFonts w:hint="eastAsia" w:cs="Times New Roman" w:asciiTheme="majorEastAsia" w:hAnsiTheme="majorEastAsia" w:eastAsiaTheme="majorEastAsia"/>
                <w:b/>
                <w:bCs/>
                <w:color w:val="333333"/>
                <w:kern w:val="0"/>
                <w:sz w:val="44"/>
                <w:szCs w:val="44"/>
              </w:rPr>
              <w:t>8</w:t>
            </w:r>
            <w:r>
              <w:rPr>
                <w:rFonts w:cs="Times New Roman" w:asciiTheme="majorEastAsia" w:hAnsiTheme="majorEastAsia" w:eastAsiaTheme="majorEastAsia"/>
                <w:b/>
                <w:bCs/>
                <w:color w:val="333333"/>
                <w:kern w:val="0"/>
                <w:sz w:val="44"/>
                <w:szCs w:val="44"/>
              </w:rPr>
              <w:t>年度溪湖区民政局政府信息公开工作年度报告</w:t>
            </w:r>
          </w:p>
          <w:p>
            <w:pPr>
              <w:widowControl/>
              <w:spacing w:line="579" w:lineRule="exact"/>
              <w:jc w:val="center"/>
              <w:rPr>
                <w:rFonts w:cs="Times New Roman" w:asciiTheme="majorEastAsia" w:hAnsiTheme="majorEastAsia" w:eastAsiaTheme="majorEastAsia"/>
                <w:b/>
                <w:bCs/>
                <w:color w:val="333333"/>
                <w:kern w:val="0"/>
                <w:sz w:val="44"/>
                <w:szCs w:val="44"/>
              </w:rPr>
            </w:pPr>
          </w:p>
        </w:tc>
      </w:tr>
    </w:tbl>
    <w:p>
      <w:pPr>
        <w:widowControl/>
        <w:spacing w:line="579" w:lineRule="exact"/>
        <w:jc w:val="left"/>
        <w:rPr>
          <w:rFonts w:ascii="仿宋" w:hAnsi="仿宋" w:eastAsia="仿宋" w:cs="宋体"/>
          <w:vanish/>
          <w:kern w:val="0"/>
          <w:sz w:val="32"/>
          <w:szCs w:val="32"/>
        </w:rPr>
      </w:pPr>
    </w:p>
    <w:p>
      <w:pPr>
        <w:widowControl/>
        <w:spacing w:line="579" w:lineRule="exact"/>
        <w:jc w:val="left"/>
        <w:rPr>
          <w:rFonts w:ascii="仿宋" w:hAnsi="仿宋" w:eastAsia="仿宋" w:cs="宋体"/>
          <w:vanish/>
          <w:kern w:val="0"/>
          <w:sz w:val="32"/>
          <w:szCs w:val="32"/>
        </w:rPr>
      </w:pPr>
    </w:p>
    <w:tbl>
      <w:tblPr>
        <w:tblStyle w:val="4"/>
        <w:tblW w:w="5000" w:type="pct"/>
        <w:jc w:val="center"/>
        <w:tblCellSpacing w:w="7" w:type="dxa"/>
        <w:shd w:val="clear" w:color="auto" w:fill="FFFFFF"/>
        <w:tblLayout w:type="autofit"/>
        <w:tblCellMar>
          <w:top w:w="0" w:type="dxa"/>
          <w:left w:w="0" w:type="dxa"/>
          <w:bottom w:w="0" w:type="dxa"/>
          <w:right w:w="0" w:type="dxa"/>
        </w:tblCellMar>
      </w:tblPr>
      <w:tblGrid>
        <w:gridCol w:w="8668"/>
      </w:tblGrid>
      <w:tr>
        <w:tblPrEx>
          <w:shd w:val="clear" w:color="auto" w:fill="FFFFFF"/>
          <w:tblCellMar>
            <w:top w:w="0" w:type="dxa"/>
            <w:left w:w="0" w:type="dxa"/>
            <w:bottom w:w="0" w:type="dxa"/>
            <w:right w:w="0" w:type="dxa"/>
          </w:tblCellMar>
        </w:tblPrEx>
        <w:trPr>
          <w:trHeight w:val="1500" w:hRule="atLeast"/>
          <w:tblCellSpacing w:w="7" w:type="dxa"/>
          <w:jc w:val="center"/>
        </w:trPr>
        <w:tc>
          <w:tcPr>
            <w:tcW w:w="0" w:type="auto"/>
            <w:shd w:val="clear" w:color="auto" w:fill="FFFFFF"/>
            <w:tcMar>
              <w:top w:w="167" w:type="dxa"/>
              <w:left w:w="167" w:type="dxa"/>
              <w:bottom w:w="167" w:type="dxa"/>
              <w:right w:w="167" w:type="dxa"/>
            </w:tcMar>
          </w:tcPr>
          <w:p>
            <w:pPr>
              <w:widowControl/>
              <w:spacing w:before="100" w:beforeAutospacing="1" w:after="100" w:afterAutospacing="1" w:line="579" w:lineRule="exact"/>
              <w:rPr>
                <w:rFonts w:ascii="仿宋" w:hAnsi="仿宋" w:eastAsia="仿宋" w:cs="宋体"/>
                <w:color w:val="333333"/>
                <w:kern w:val="0"/>
                <w:sz w:val="32"/>
                <w:szCs w:val="32"/>
              </w:rPr>
            </w:pPr>
            <w:r>
              <w:rPr>
                <w:rFonts w:hint="eastAsia" w:ascii="仿宋" w:hAnsi="仿宋" w:eastAsia="仿宋" w:cs="Tahoma"/>
                <w:color w:val="000000"/>
                <w:kern w:val="0"/>
                <w:sz w:val="32"/>
                <w:szCs w:val="32"/>
                <w:shd w:val="clear" w:color="auto" w:fill="FFFFFF"/>
              </w:rPr>
              <w:t xml:space="preserve">    </w:t>
            </w:r>
            <w:r>
              <w:rPr>
                <w:rFonts w:ascii="仿宋" w:hAnsi="仿宋" w:eastAsia="仿宋" w:cs="Tahoma"/>
                <w:color w:val="000000"/>
                <w:kern w:val="0"/>
                <w:sz w:val="32"/>
                <w:szCs w:val="32"/>
                <w:shd w:val="clear" w:color="auto" w:fill="FFFFFF"/>
              </w:rPr>
              <w:t>201</w:t>
            </w:r>
            <w:r>
              <w:rPr>
                <w:rFonts w:hint="eastAsia" w:ascii="仿宋" w:hAnsi="仿宋" w:eastAsia="仿宋" w:cs="Tahoma"/>
                <w:color w:val="000000"/>
                <w:kern w:val="0"/>
                <w:sz w:val="32"/>
                <w:szCs w:val="32"/>
                <w:shd w:val="clear" w:color="auto" w:fill="FFFFFF"/>
              </w:rPr>
              <w:t>8</w:t>
            </w:r>
            <w:r>
              <w:rPr>
                <w:rFonts w:ascii="仿宋" w:hAnsi="仿宋" w:eastAsia="仿宋" w:cs="Tahoma"/>
                <w:color w:val="000000"/>
                <w:kern w:val="0"/>
                <w:sz w:val="32"/>
                <w:szCs w:val="32"/>
                <w:shd w:val="clear" w:color="auto" w:fill="FFFFFF"/>
              </w:rPr>
              <w:t>年，区民政局</w:t>
            </w:r>
            <w:r>
              <w:rPr>
                <w:rFonts w:hint="eastAsia" w:ascii="仿宋" w:hAnsi="仿宋" w:eastAsia="仿宋" w:cs="Tahoma"/>
                <w:color w:val="000000"/>
                <w:kern w:val="0"/>
                <w:sz w:val="32"/>
                <w:szCs w:val="32"/>
                <w:shd w:val="clear" w:color="auto" w:fill="FFFFFF"/>
              </w:rPr>
              <w:t>认真</w:t>
            </w:r>
            <w:r>
              <w:rPr>
                <w:rFonts w:ascii="仿宋" w:hAnsi="仿宋" w:eastAsia="仿宋" w:cs="Tahoma"/>
                <w:color w:val="000000"/>
                <w:kern w:val="0"/>
                <w:sz w:val="32"/>
                <w:szCs w:val="32"/>
                <w:shd w:val="clear" w:color="auto" w:fill="FFFFFF"/>
              </w:rPr>
              <w:t>贯彻落实</w:t>
            </w:r>
            <w:r>
              <w:rPr>
                <w:rFonts w:hint="eastAsia" w:ascii="仿宋" w:hAnsi="仿宋" w:eastAsia="仿宋" w:cs="Tahoma"/>
                <w:color w:val="000000"/>
                <w:kern w:val="0"/>
                <w:sz w:val="32"/>
                <w:szCs w:val="32"/>
                <w:shd w:val="clear" w:color="auto" w:fill="FFFFFF"/>
              </w:rPr>
              <w:t>《国务院办公厅关于印发2018年政务公开工作要点的通知》（国办发〔2018〕23号）和《辽宁省人民政府办公厅关于印发2018年政务公开重点工作安排的通知》（辽政办〔2018〕27号）的相关工作部署</w:t>
            </w:r>
            <w:r>
              <w:rPr>
                <w:rFonts w:ascii="仿宋" w:hAnsi="仿宋" w:eastAsia="仿宋" w:cs="Tahoma"/>
                <w:color w:val="000000"/>
                <w:kern w:val="0"/>
                <w:sz w:val="32"/>
                <w:szCs w:val="32"/>
                <w:shd w:val="clear" w:color="auto" w:fill="FFFFFF"/>
              </w:rPr>
              <w:t>要求，在区委、区政府的正确领导和精心指导下，我局与民互动中积极推动政务公开工作。现公布201</w:t>
            </w:r>
            <w:r>
              <w:rPr>
                <w:rFonts w:hint="eastAsia" w:ascii="仿宋" w:hAnsi="仿宋" w:eastAsia="仿宋" w:cs="Tahoma"/>
                <w:color w:val="000000"/>
                <w:kern w:val="0"/>
                <w:sz w:val="32"/>
                <w:szCs w:val="32"/>
                <w:shd w:val="clear" w:color="auto" w:fill="FFFFFF"/>
              </w:rPr>
              <w:t>8</w:t>
            </w:r>
            <w:r>
              <w:rPr>
                <w:rFonts w:ascii="仿宋" w:hAnsi="仿宋" w:eastAsia="仿宋" w:cs="Tahoma"/>
                <w:color w:val="000000"/>
                <w:kern w:val="0"/>
                <w:sz w:val="32"/>
                <w:szCs w:val="32"/>
                <w:shd w:val="clear" w:color="auto" w:fill="FFFFFF"/>
              </w:rPr>
              <w:t>年度溪湖区民政局政府信息公开工作年度报告。</w:t>
            </w:r>
          </w:p>
          <w:p>
            <w:pPr>
              <w:widowControl/>
              <w:spacing w:before="100" w:beforeAutospacing="1" w:after="100" w:afterAutospacing="1" w:line="579" w:lineRule="exact"/>
              <w:ind w:firstLine="640"/>
              <w:rPr>
                <w:rFonts w:ascii="黑体" w:hAnsi="黑体" w:eastAsia="黑体" w:cs="宋体"/>
                <w:color w:val="333333"/>
                <w:kern w:val="0"/>
                <w:sz w:val="32"/>
                <w:szCs w:val="32"/>
              </w:rPr>
            </w:pPr>
            <w:r>
              <w:rPr>
                <w:rFonts w:ascii="黑体" w:hAnsi="黑体" w:eastAsia="黑体" w:cs="Tahoma"/>
                <w:color w:val="000000"/>
                <w:kern w:val="0"/>
                <w:sz w:val="32"/>
                <w:szCs w:val="32"/>
                <w:shd w:val="clear" w:color="auto" w:fill="FFFFFF"/>
              </w:rPr>
              <w:t>一、政务公开工作情况</w:t>
            </w:r>
          </w:p>
          <w:p>
            <w:pPr>
              <w:widowControl/>
              <w:spacing w:before="100" w:beforeAutospacing="1" w:after="100" w:afterAutospacing="1" w:line="579" w:lineRule="exact"/>
              <w:ind w:firstLine="480" w:firstLineChars="150"/>
              <w:rPr>
                <w:rFonts w:ascii="仿宋" w:hAnsi="仿宋" w:eastAsia="仿宋" w:cs="宋体"/>
                <w:color w:val="333333"/>
                <w:kern w:val="0"/>
                <w:sz w:val="32"/>
                <w:szCs w:val="32"/>
              </w:rPr>
            </w:pPr>
            <w:r>
              <w:rPr>
                <w:rFonts w:ascii="Tahoma" w:hAnsi="Tahoma" w:eastAsia="仿宋" w:cs="Tahoma"/>
                <w:color w:val="000000"/>
                <w:kern w:val="0"/>
                <w:sz w:val="32"/>
                <w:szCs w:val="32"/>
                <w:shd w:val="clear" w:color="auto" w:fill="FFFFFF"/>
              </w:rPr>
              <w:t> </w:t>
            </w:r>
            <w:r>
              <w:rPr>
                <w:rFonts w:ascii="仿宋" w:hAnsi="仿宋" w:eastAsia="仿宋" w:cs="Tahoma"/>
                <w:color w:val="000000"/>
                <w:kern w:val="0"/>
                <w:sz w:val="32"/>
                <w:szCs w:val="32"/>
                <w:shd w:val="clear" w:color="auto" w:fill="FFFFFF"/>
              </w:rPr>
              <w:t>（一）领导高度重视，把政务公开工作纳入重要议事日程。民政工作是党和政府联系人民群众的桥梁和纽带。民政部门做好政务公开工作，是更好地履行“解决民生、维护民利、落实民权”核心职责的基础。为进一步规范行政行为，提升行政效能，优化政务服务环境，我局认真贯彻落实区委、区政府关于政府信息公开工作的部署和要求，自始至终把推行政府信息公开工作作为落实党风廉政建设责任制、转变机关作风、提高行政效能、加强民主监督的一项重要工作来抓。通过机构落实、人员落实，保证政务公开工作真正做到有人抓、有人管。</w:t>
            </w:r>
          </w:p>
          <w:p>
            <w:pPr>
              <w:widowControl/>
              <w:spacing w:before="100" w:beforeAutospacing="1" w:after="100" w:afterAutospacing="1" w:line="579" w:lineRule="exact"/>
              <w:ind w:firstLine="405"/>
              <w:rPr>
                <w:rFonts w:ascii="仿宋" w:hAnsi="仿宋" w:eastAsia="仿宋" w:cs="宋体"/>
                <w:color w:val="333333"/>
                <w:kern w:val="0"/>
                <w:sz w:val="32"/>
                <w:szCs w:val="32"/>
              </w:rPr>
            </w:pPr>
            <w:r>
              <w:rPr>
                <w:rFonts w:ascii="仿宋" w:hAnsi="仿宋" w:eastAsia="仿宋" w:cs="Tahoma"/>
                <w:color w:val="000000"/>
                <w:kern w:val="0"/>
                <w:sz w:val="32"/>
                <w:szCs w:val="32"/>
                <w:shd w:val="clear" w:color="auto" w:fill="FFFFFF"/>
              </w:rPr>
              <w:t>（二）坚持“以人为本，为民解困、为民服务”的民政宗旨，积极推进政务公开工作。为方便群众办事和监督，改进工作作风，结合我局实际情况，婚姻登记、老龄服务事项等在一楼大厅公开栏长期为民政对象公开；在办公楼门口设置了群众意见箱；公开民政工作职能、办事程序等，民政局工作人员办事纪律、监督电话</w:t>
            </w:r>
            <w:r>
              <w:rPr>
                <w:rFonts w:hint="eastAsia" w:ascii="仿宋" w:hAnsi="仿宋" w:eastAsia="仿宋" w:cs="Tahoma"/>
                <w:color w:val="000000"/>
                <w:kern w:val="0"/>
                <w:sz w:val="32"/>
                <w:szCs w:val="32"/>
                <w:shd w:val="clear" w:color="auto" w:fill="FFFFFF"/>
              </w:rPr>
              <w:t>、市、区营商局投诉电话</w:t>
            </w:r>
            <w:r>
              <w:rPr>
                <w:rFonts w:ascii="仿宋" w:hAnsi="仿宋" w:eastAsia="仿宋" w:cs="Tahoma"/>
                <w:color w:val="000000"/>
                <w:kern w:val="0"/>
                <w:sz w:val="32"/>
                <w:szCs w:val="32"/>
                <w:shd w:val="clear" w:color="auto" w:fill="FFFFFF"/>
              </w:rPr>
              <w:t>等；公开工作人员的姓名、职务、职责，接受群众监督。为方便群众网上查询，在政府网站公开我局</w:t>
            </w:r>
            <w:r>
              <w:rPr>
                <w:rFonts w:hint="eastAsia" w:ascii="仿宋" w:hAnsi="仿宋" w:eastAsia="仿宋" w:cs="Tahoma"/>
                <w:color w:val="000000"/>
                <w:kern w:val="0"/>
                <w:sz w:val="32"/>
                <w:szCs w:val="32"/>
                <w:shd w:val="clear" w:color="auto" w:fill="FFFFFF"/>
              </w:rPr>
              <w:t>37</w:t>
            </w:r>
            <w:r>
              <w:rPr>
                <w:rFonts w:ascii="仿宋" w:hAnsi="仿宋" w:eastAsia="仿宋" w:cs="Tahoma"/>
                <w:color w:val="000000"/>
                <w:kern w:val="0"/>
                <w:sz w:val="32"/>
                <w:szCs w:val="32"/>
                <w:shd w:val="clear" w:color="auto" w:fill="FFFFFF"/>
              </w:rPr>
              <w:t>项民政工作事项、流程，并运用图片、图表、图解等形式，加强可读性，方便群众获取信息，切实提高了民政部门工作的透明度和行政效能。</w:t>
            </w:r>
          </w:p>
          <w:p>
            <w:pPr>
              <w:widowControl/>
              <w:spacing w:before="100" w:beforeAutospacing="1" w:after="100" w:afterAutospacing="1" w:line="579" w:lineRule="exact"/>
              <w:ind w:firstLine="405"/>
              <w:rPr>
                <w:rFonts w:ascii="仿宋" w:hAnsi="仿宋" w:eastAsia="仿宋" w:cs="宋体"/>
                <w:color w:val="333333"/>
                <w:kern w:val="0"/>
                <w:sz w:val="32"/>
                <w:szCs w:val="32"/>
              </w:rPr>
            </w:pPr>
            <w:r>
              <w:rPr>
                <w:rFonts w:ascii="仿宋" w:hAnsi="仿宋" w:eastAsia="仿宋" w:cs="Tahoma"/>
                <w:color w:val="000000"/>
                <w:kern w:val="0"/>
                <w:sz w:val="32"/>
                <w:szCs w:val="32"/>
              </w:rPr>
              <w:t>（三）完善政策解读和发布机制。</w:t>
            </w:r>
            <w:r>
              <w:rPr>
                <w:rFonts w:ascii="仿宋" w:hAnsi="仿宋" w:eastAsia="仿宋" w:cs="Tahoma"/>
                <w:color w:val="000000"/>
                <w:kern w:val="0"/>
                <w:sz w:val="32"/>
                <w:szCs w:val="32"/>
                <w:shd w:val="clear" w:color="auto" w:fill="FFFFFF"/>
              </w:rPr>
              <w:t>我局高度重视重要政策文件宣传的时效性，做到第一时间转发、印发政策文件，主要负责人在会议上积极引导学习文件精神。今年我局根据新政策重新编印具有针对性、实用性和可操作性较强的《</w:t>
            </w:r>
            <w:r>
              <w:rPr>
                <w:rFonts w:hint="eastAsia" w:ascii="仿宋" w:hAnsi="仿宋" w:eastAsia="仿宋" w:cs="Tahoma"/>
                <w:color w:val="000000"/>
                <w:kern w:val="0"/>
                <w:sz w:val="32"/>
                <w:szCs w:val="32"/>
                <w:shd w:val="clear" w:color="auto" w:fill="FFFFFF"/>
              </w:rPr>
              <w:t>溪湖区民政局“群众办事通”</w:t>
            </w:r>
            <w:r>
              <w:rPr>
                <w:rFonts w:ascii="仿宋" w:hAnsi="仿宋" w:eastAsia="仿宋" w:cs="Tahoma"/>
                <w:color w:val="000000"/>
                <w:kern w:val="0"/>
                <w:sz w:val="32"/>
                <w:szCs w:val="32"/>
                <w:shd w:val="clear" w:color="auto" w:fill="FFFFFF"/>
              </w:rPr>
              <w:t>》</w:t>
            </w:r>
            <w:r>
              <w:rPr>
                <w:rFonts w:hint="eastAsia" w:ascii="仿宋" w:hAnsi="仿宋" w:eastAsia="仿宋" w:cs="Tahoma"/>
                <w:color w:val="000000"/>
                <w:kern w:val="0"/>
                <w:sz w:val="32"/>
                <w:szCs w:val="32"/>
                <w:shd w:val="clear" w:color="auto" w:fill="FFFFFF"/>
              </w:rPr>
              <w:t>和《溪湖区民政局办事指南》，并在区政府网站和局一楼服务大厅公开宣传</w:t>
            </w:r>
            <w:r>
              <w:rPr>
                <w:rFonts w:ascii="仿宋" w:hAnsi="仿宋" w:eastAsia="仿宋" w:cs="Tahoma"/>
                <w:color w:val="000000"/>
                <w:kern w:val="0"/>
                <w:sz w:val="32"/>
                <w:szCs w:val="32"/>
                <w:shd w:val="clear" w:color="auto" w:fill="FFFFFF"/>
              </w:rPr>
              <w:t>。开展现场咨询活动，在人流量较大的场所（如社区等）设点集中宣传</w:t>
            </w:r>
            <w:r>
              <w:rPr>
                <w:rFonts w:hint="eastAsia" w:ascii="仿宋" w:hAnsi="仿宋" w:eastAsia="仿宋" w:cs="Tahoma"/>
                <w:color w:val="000000"/>
                <w:kern w:val="0"/>
                <w:sz w:val="32"/>
                <w:szCs w:val="32"/>
                <w:shd w:val="clear" w:color="auto" w:fill="FFFFFF"/>
              </w:rPr>
              <w:t>和解读民政</w:t>
            </w:r>
            <w:r>
              <w:rPr>
                <w:rFonts w:ascii="仿宋" w:hAnsi="仿宋" w:eastAsia="仿宋" w:cs="Tahoma"/>
                <w:color w:val="000000"/>
                <w:kern w:val="0"/>
                <w:sz w:val="32"/>
                <w:szCs w:val="32"/>
                <w:shd w:val="clear" w:color="auto" w:fill="FFFFFF"/>
              </w:rPr>
              <w:t>政策</w:t>
            </w:r>
            <w:r>
              <w:rPr>
                <w:rFonts w:hint="eastAsia" w:ascii="仿宋" w:hAnsi="仿宋" w:eastAsia="仿宋" w:cs="Tahoma"/>
                <w:color w:val="000000"/>
                <w:kern w:val="0"/>
                <w:sz w:val="32"/>
                <w:szCs w:val="32"/>
                <w:shd w:val="clear" w:color="auto" w:fill="FFFFFF"/>
              </w:rPr>
              <w:t>，</w:t>
            </w:r>
            <w:r>
              <w:rPr>
                <w:rFonts w:ascii="仿宋" w:hAnsi="仿宋" w:eastAsia="仿宋" w:cs="Tahoma"/>
                <w:color w:val="000000"/>
                <w:kern w:val="0"/>
                <w:sz w:val="32"/>
                <w:szCs w:val="32"/>
                <w:shd w:val="clear" w:color="auto" w:fill="FFFFFF"/>
              </w:rPr>
              <w:t>通过悬挂宣传标语、摆放宣传板报、免费发放宣传资料、现场解答问题等形式，营造宣传声势，增强宣传成效，提高政策知晓率。</w:t>
            </w:r>
          </w:p>
          <w:p>
            <w:pPr>
              <w:widowControl/>
              <w:spacing w:before="100" w:beforeAutospacing="1" w:after="100" w:afterAutospacing="1" w:line="579" w:lineRule="exact"/>
              <w:ind w:firstLine="405"/>
              <w:rPr>
                <w:rFonts w:ascii="仿宋" w:hAnsi="仿宋" w:eastAsia="仿宋" w:cs="Tahoma"/>
                <w:color w:val="000000"/>
                <w:kern w:val="0"/>
                <w:sz w:val="32"/>
                <w:szCs w:val="32"/>
                <w:shd w:val="clear" w:color="auto" w:fill="FFFFFF"/>
              </w:rPr>
            </w:pPr>
            <w:r>
              <w:rPr>
                <w:rFonts w:ascii="仿宋" w:hAnsi="仿宋" w:eastAsia="仿宋" w:cs="Tahoma"/>
                <w:color w:val="000000"/>
                <w:kern w:val="0"/>
                <w:sz w:val="32"/>
                <w:szCs w:val="32"/>
                <w:shd w:val="clear" w:color="auto" w:fill="FFFFFF"/>
              </w:rPr>
              <w:t>（四）强化监督，确保政务公开落实。我局根据区委、区政府的统一要求，严把公开内容和项目关，既防止该公开的不公开，搞半公开、假公开，又防止不该公开的乱公开。采取多种形式，强化监督检查工作，实行定期检查与不定期抽查相结合，积极推进政务公开的规范化建设。同时，鼓励群众积极参与监督，积极反映公开过程中存在的突出问题，使公开工作更加扎实、有序开展。</w:t>
            </w:r>
          </w:p>
          <w:p>
            <w:pPr>
              <w:widowControl/>
              <w:spacing w:before="100" w:beforeAutospacing="1" w:after="100" w:afterAutospacing="1" w:line="579" w:lineRule="exact"/>
              <w:ind w:firstLine="640" w:firstLineChars="200"/>
              <w:rPr>
                <w:rFonts w:ascii="黑体" w:hAnsi="黑体" w:eastAsia="黑体" w:cs="Tahoma"/>
                <w:color w:val="000000"/>
                <w:kern w:val="0"/>
                <w:sz w:val="32"/>
                <w:szCs w:val="32"/>
                <w:shd w:val="clear" w:color="auto" w:fill="FFFFFF"/>
              </w:rPr>
            </w:pPr>
            <w:r>
              <w:rPr>
                <w:rFonts w:hint="eastAsia" w:ascii="黑体" w:hAnsi="黑体" w:eastAsia="黑体" w:cs="Tahoma"/>
                <w:color w:val="000000"/>
                <w:kern w:val="0"/>
                <w:sz w:val="32"/>
                <w:szCs w:val="32"/>
                <w:shd w:val="clear" w:color="auto" w:fill="FFFFFF"/>
              </w:rPr>
              <w:t>二、主动公开政务信息情况</w:t>
            </w:r>
          </w:p>
          <w:p>
            <w:pPr>
              <w:widowControl/>
              <w:spacing w:before="100" w:beforeAutospacing="1" w:after="100" w:afterAutospacing="1" w:line="579"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（一）新媒体广泛宣传</w:t>
            </w:r>
          </w:p>
          <w:p>
            <w:pPr>
              <w:widowControl/>
              <w:spacing w:before="100" w:beforeAutospacing="1" w:after="100" w:afterAutospacing="1" w:line="579"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2018年，全局主动公开民政信息45条，其中本溪溪湖民政公众号公开22条，美篇23条，2条被选入《本溪日报》中宣传，2条被选入网络《第一媒体》宣传,强化为民服务宗旨，提升公开的能力，通过畅通高效的信息平台接受社会各界的监督。</w:t>
            </w:r>
          </w:p>
          <w:p>
            <w:pPr>
              <w:widowControl/>
              <w:spacing w:before="100" w:beforeAutospacing="1" w:after="100" w:afterAutospacing="1" w:line="579" w:lineRule="exact"/>
              <w:ind w:firstLine="640"/>
              <w:jc w:val="left"/>
              <w:rPr>
                <w:rFonts w:ascii="仿宋" w:hAnsi="仿宋" w:eastAsia="仿宋" w:cs="宋体"/>
                <w:color w:val="333333"/>
                <w:kern w:val="0"/>
                <w:sz w:val="32"/>
                <w:szCs w:val="32"/>
              </w:rPr>
            </w:pPr>
            <w:r>
              <w:rPr>
                <w:rFonts w:hint="eastAsia" w:ascii="仿宋" w:hAnsi="仿宋" w:eastAsia="仿宋" w:cs="Tahoma"/>
                <w:color w:val="000000"/>
                <w:kern w:val="0"/>
                <w:sz w:val="32"/>
                <w:szCs w:val="32"/>
                <w:shd w:val="clear" w:color="auto" w:fill="FFFFFF"/>
              </w:rPr>
              <w:t>（二）</w:t>
            </w:r>
            <w:r>
              <w:rPr>
                <w:rFonts w:ascii="仿宋" w:hAnsi="仿宋" w:eastAsia="仿宋" w:cs="Tahoma"/>
                <w:color w:val="000000"/>
                <w:kern w:val="0"/>
                <w:sz w:val="32"/>
                <w:szCs w:val="32"/>
              </w:rPr>
              <w:t>“防灾减灾日”宣传活动</w:t>
            </w:r>
          </w:p>
          <w:p>
            <w:pPr>
              <w:spacing w:line="579" w:lineRule="exact"/>
              <w:ind w:firstLine="800" w:firstLineChars="250"/>
              <w:rPr>
                <w:rFonts w:eastAsia="仿宋"/>
                <w:sz w:val="32"/>
                <w:szCs w:val="32"/>
              </w:rPr>
            </w:pPr>
            <w:r>
              <w:rPr>
                <w:rFonts w:ascii="仿宋" w:hAnsi="仿宋" w:eastAsia="仿宋"/>
                <w:sz w:val="32"/>
                <w:szCs w:val="32"/>
              </w:rPr>
              <w:t>5月12</w:t>
            </w:r>
            <w:r>
              <w:rPr>
                <w:rFonts w:eastAsia="仿宋"/>
                <w:sz w:val="32"/>
                <w:szCs w:val="32"/>
              </w:rPr>
              <w:t>日是第十个全国防灾减灾日，也是四川汶川地震十周年，为了缅怀逝者，前事不忘后事之师，为增强民政工作人员救灾技能，</w:t>
            </w:r>
            <w:r>
              <w:rPr>
                <w:rFonts w:hint="eastAsia" w:eastAsia="仿宋"/>
                <w:sz w:val="32"/>
                <w:szCs w:val="32"/>
              </w:rPr>
              <w:t>我局组织全区民政系统参加</w:t>
            </w:r>
            <w:r>
              <w:rPr>
                <w:rFonts w:eastAsia="仿宋"/>
                <w:sz w:val="32"/>
                <w:szCs w:val="32"/>
              </w:rPr>
              <w:t>全市举办</w:t>
            </w:r>
            <w:r>
              <w:rPr>
                <w:rFonts w:hint="eastAsia" w:eastAsia="仿宋"/>
                <w:sz w:val="32"/>
                <w:szCs w:val="32"/>
              </w:rPr>
              <w:t>的</w:t>
            </w:r>
            <w:r>
              <w:rPr>
                <w:rFonts w:eastAsia="仿宋"/>
                <w:sz w:val="32"/>
                <w:szCs w:val="32"/>
              </w:rPr>
              <w:t>搭建救灾帐篷技能比武，溪湖区</w:t>
            </w:r>
            <w:r>
              <w:rPr>
                <w:rFonts w:hint="eastAsia" w:eastAsia="仿宋"/>
                <w:sz w:val="32"/>
                <w:szCs w:val="32"/>
              </w:rPr>
              <w:t>在</w:t>
            </w:r>
            <w:r>
              <w:rPr>
                <w:rFonts w:eastAsia="仿宋"/>
                <w:sz w:val="32"/>
                <w:szCs w:val="32"/>
              </w:rPr>
              <w:t>全市五个城区</w:t>
            </w:r>
            <w:r>
              <w:rPr>
                <w:rFonts w:hint="eastAsia" w:eastAsia="仿宋"/>
                <w:sz w:val="32"/>
                <w:szCs w:val="32"/>
              </w:rPr>
              <w:t>比武中</w:t>
            </w:r>
            <w:r>
              <w:rPr>
                <w:rFonts w:eastAsia="仿宋"/>
                <w:sz w:val="32"/>
                <w:szCs w:val="32"/>
              </w:rPr>
              <w:t>奋勇当先，得到了市局领导的充分肯定，同时对我区居民防灾救灾工作提出了指导意见。</w:t>
            </w:r>
          </w:p>
          <w:p>
            <w:pPr>
              <w:widowControl/>
              <w:shd w:val="clear" w:color="auto" w:fill="FFFFFF"/>
              <w:spacing w:before="100" w:beforeAutospacing="1" w:after="100" w:afterAutospacing="1" w:line="579" w:lineRule="exact"/>
              <w:ind w:firstLine="640"/>
              <w:rPr>
                <w:rFonts w:ascii="黑体" w:hAnsi="黑体" w:eastAsia="黑体" w:cs="Tahoma"/>
                <w:color w:val="000000"/>
                <w:kern w:val="0"/>
                <w:sz w:val="32"/>
                <w:szCs w:val="32"/>
                <w:shd w:val="clear" w:color="auto" w:fill="FFFFFF"/>
              </w:rPr>
            </w:pPr>
            <w:r>
              <w:rPr>
                <w:rFonts w:hint="eastAsia" w:ascii="黑体" w:hAnsi="黑体" w:eastAsia="黑体" w:cs="Tahoma"/>
                <w:color w:val="000000"/>
                <w:kern w:val="0"/>
                <w:sz w:val="32"/>
                <w:szCs w:val="32"/>
                <w:shd w:val="clear" w:color="auto" w:fill="FFFFFF"/>
              </w:rPr>
              <w:t>三</w:t>
            </w:r>
            <w:r>
              <w:rPr>
                <w:rFonts w:ascii="黑体" w:hAnsi="黑体" w:eastAsia="黑体" w:cs="Tahoma"/>
                <w:color w:val="000000"/>
                <w:kern w:val="0"/>
                <w:sz w:val="32"/>
                <w:szCs w:val="32"/>
                <w:shd w:val="clear" w:color="auto" w:fill="FFFFFF"/>
              </w:rPr>
              <w:t>、政务信息公开情况</w:t>
            </w:r>
          </w:p>
          <w:p>
            <w:pPr>
              <w:widowControl/>
              <w:spacing w:before="100" w:beforeAutospacing="1" w:after="100" w:afterAutospacing="1" w:line="579" w:lineRule="exact"/>
              <w:ind w:firstLine="640"/>
              <w:jc w:val="left"/>
              <w:rPr>
                <w:rFonts w:ascii="仿宋" w:hAnsi="仿宋" w:eastAsia="仿宋" w:cs="宋体"/>
                <w:color w:val="333333"/>
                <w:kern w:val="0"/>
                <w:sz w:val="32"/>
                <w:szCs w:val="32"/>
              </w:rPr>
            </w:pPr>
            <w:r>
              <w:rPr>
                <w:rFonts w:hint="eastAsia" w:ascii="仿宋" w:hAnsi="仿宋" w:eastAsia="仿宋" w:cs="楷体"/>
                <w:bCs/>
                <w:sz w:val="32"/>
                <w:szCs w:val="32"/>
              </w:rPr>
              <w:t>（一）行政权力公开</w:t>
            </w:r>
          </w:p>
          <w:p>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2018年年初，溪湖区民政局认真</w:t>
            </w:r>
            <w:r>
              <w:rPr>
                <w:rFonts w:ascii="仿宋" w:hAnsi="仿宋" w:eastAsia="仿宋" w:cs="仿宋"/>
                <w:sz w:val="32"/>
                <w:szCs w:val="32"/>
              </w:rPr>
              <w:t>梳理政务公开事项</w:t>
            </w:r>
            <w:r>
              <w:rPr>
                <w:rFonts w:hint="eastAsia" w:ascii="仿宋" w:hAnsi="仿宋" w:eastAsia="仿宋" w:cs="仿宋"/>
                <w:sz w:val="32"/>
                <w:szCs w:val="32"/>
              </w:rPr>
              <w:t>，并在“本溪政务网站”行政权力公开系统上公开本单位行政权力37条，其中行政许可5条、行政确认8条、行政给付24条。并整理出各项权利的“行政服务事项办事指南”和“服务指南”。在网站和“指南”中全面公开办理流程、法定依据、办理责任人、承诺时限、监督电话等信息，方便企业、群众办理各项业务，同时增强权力运行的透明度，不断提高全局整体素质和整体水平。</w:t>
            </w:r>
          </w:p>
          <w:p>
            <w:pPr>
              <w:widowControl/>
              <w:spacing w:before="100" w:beforeAutospacing="1" w:after="100" w:afterAutospacing="1" w:line="579" w:lineRule="exact"/>
              <w:ind w:firstLine="640"/>
              <w:jc w:val="left"/>
              <w:rPr>
                <w:rFonts w:ascii="仿宋" w:hAnsi="仿宋" w:eastAsia="仿宋" w:cs="宋体"/>
                <w:color w:val="333333"/>
                <w:kern w:val="0"/>
                <w:sz w:val="32"/>
                <w:szCs w:val="32"/>
              </w:rPr>
            </w:pPr>
            <w:r>
              <w:rPr>
                <w:rFonts w:hint="eastAsia" w:ascii="仿宋" w:hAnsi="仿宋" w:eastAsia="仿宋" w:cs="Tahoma"/>
                <w:color w:val="000000"/>
                <w:kern w:val="0"/>
                <w:sz w:val="32"/>
                <w:szCs w:val="32"/>
              </w:rPr>
              <w:t>（二）</w:t>
            </w:r>
            <w:r>
              <w:rPr>
                <w:rFonts w:ascii="仿宋" w:hAnsi="仿宋" w:eastAsia="仿宋" w:cs="Tahoma"/>
                <w:color w:val="000000"/>
                <w:kern w:val="0"/>
                <w:sz w:val="32"/>
                <w:szCs w:val="32"/>
              </w:rPr>
              <w:t>政务信息工作</w:t>
            </w:r>
          </w:p>
          <w:p>
            <w:pPr>
              <w:widowControl/>
              <w:spacing w:before="100" w:beforeAutospacing="1" w:after="100" w:afterAutospacing="1" w:line="579" w:lineRule="exact"/>
              <w:ind w:firstLine="640"/>
              <w:jc w:val="left"/>
              <w:rPr>
                <w:rFonts w:ascii="仿宋" w:hAnsi="仿宋" w:eastAsia="仿宋" w:cs="Tahoma"/>
                <w:color w:val="000000"/>
                <w:kern w:val="0"/>
                <w:sz w:val="32"/>
                <w:szCs w:val="32"/>
              </w:rPr>
            </w:pPr>
            <w:r>
              <w:rPr>
                <w:rFonts w:ascii="仿宋" w:hAnsi="仿宋" w:eastAsia="仿宋" w:cs="Tahoma"/>
                <w:color w:val="000000"/>
                <w:kern w:val="0"/>
                <w:sz w:val="32"/>
                <w:szCs w:val="32"/>
              </w:rPr>
              <w:t>201</w:t>
            </w:r>
            <w:r>
              <w:rPr>
                <w:rFonts w:hint="eastAsia" w:ascii="仿宋" w:hAnsi="仿宋" w:eastAsia="仿宋" w:cs="Tahoma"/>
                <w:color w:val="000000"/>
                <w:kern w:val="0"/>
                <w:sz w:val="32"/>
                <w:szCs w:val="32"/>
              </w:rPr>
              <w:t>8</w:t>
            </w:r>
            <w:r>
              <w:rPr>
                <w:rFonts w:ascii="仿宋" w:hAnsi="仿宋" w:eastAsia="仿宋" w:cs="Tahoma"/>
                <w:color w:val="000000"/>
                <w:kern w:val="0"/>
                <w:sz w:val="32"/>
                <w:szCs w:val="32"/>
              </w:rPr>
              <w:t>年，全年政府信息上报工作中，我局信息报送质量好、约稿完成及时</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共向政府上报信息</w:t>
            </w:r>
            <w:r>
              <w:rPr>
                <w:rFonts w:hint="eastAsia" w:ascii="仿宋" w:hAnsi="仿宋" w:eastAsia="仿宋" w:cs="Tahoma"/>
                <w:color w:val="000000"/>
                <w:kern w:val="0"/>
                <w:sz w:val="32"/>
                <w:szCs w:val="32"/>
              </w:rPr>
              <w:t>56</w:t>
            </w:r>
            <w:r>
              <w:rPr>
                <w:rFonts w:ascii="仿宋" w:hAnsi="仿宋" w:eastAsia="仿宋" w:cs="Tahoma"/>
                <w:color w:val="000000"/>
                <w:kern w:val="0"/>
                <w:sz w:val="32"/>
                <w:szCs w:val="32"/>
              </w:rPr>
              <w:t>条。</w:t>
            </w:r>
            <w:r>
              <w:rPr>
                <w:rFonts w:hint="eastAsia" w:ascii="仿宋" w:hAnsi="仿宋" w:eastAsia="仿宋" w:cs="Tahoma"/>
                <w:color w:val="000000"/>
                <w:kern w:val="0"/>
                <w:sz w:val="32"/>
                <w:szCs w:val="32"/>
              </w:rPr>
              <w:t>其中3篇被选入区政府政务公开网站发布。约稿信息1篇。</w:t>
            </w:r>
            <w:r>
              <w:rPr>
                <w:rFonts w:ascii="仿宋" w:hAnsi="仿宋" w:eastAsia="仿宋" w:cs="Tahoma"/>
                <w:color w:val="000000"/>
                <w:kern w:val="0"/>
                <w:sz w:val="32"/>
                <w:szCs w:val="32"/>
              </w:rPr>
              <w:t>我局</w:t>
            </w:r>
            <w:r>
              <w:rPr>
                <w:rFonts w:hint="eastAsia" w:ascii="仿宋" w:hAnsi="仿宋" w:eastAsia="仿宋" w:cs="Tahoma"/>
                <w:color w:val="000000"/>
                <w:kern w:val="0"/>
                <w:sz w:val="32"/>
                <w:szCs w:val="32"/>
              </w:rPr>
              <w:t>从</w:t>
            </w:r>
            <w:r>
              <w:rPr>
                <w:rFonts w:ascii="仿宋" w:hAnsi="仿宋" w:eastAsia="仿宋" w:cs="Tahoma"/>
                <w:color w:val="000000"/>
                <w:kern w:val="0"/>
                <w:sz w:val="32"/>
                <w:szCs w:val="32"/>
              </w:rPr>
              <w:t>报送政务信息是严肃而重要的政治任务的高度，从推进经济社会持续健康发展、促进科学决策的角度加强信息工作，充分发挥以政务信息展示工作成效、为决策提供参考的重要作用，争取在工作中举一反三、创新思路、破解发展难题，及时报送重要工作动态、成绩亮点以及政策执行中遇到的问题、难点，尽职尽责完成信息工作任务。</w:t>
            </w:r>
          </w:p>
          <w:p>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（三）“最多跑一次”服务</w:t>
            </w:r>
          </w:p>
          <w:p>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区民政局共有行政服务事项38项，进驻溪湖区行政服务中心30项，经过对业务办理项目进行整体“瘦身”，形成“最简”、“最优”的“行政服务事项办事指南”和“服务指南”，提供了详细的办事流程等信息，并录入政务公开网站。</w:t>
            </w:r>
            <w:r>
              <w:rPr>
                <w:rFonts w:hint="eastAsia" w:ascii="仿宋" w:hAnsi="仿宋" w:eastAsia="仿宋" w:cs="仿宋"/>
                <w:bCs/>
                <w:sz w:val="32"/>
                <w:szCs w:val="32"/>
              </w:rPr>
              <w:t>业务流程的精简、推进了信息共享 “少跑路”，</w:t>
            </w:r>
            <w:r>
              <w:rPr>
                <w:rFonts w:hint="eastAsia" w:ascii="仿宋" w:hAnsi="仿宋" w:eastAsia="仿宋" w:cs="仿宋"/>
                <w:sz w:val="32"/>
                <w:szCs w:val="32"/>
              </w:rPr>
              <w:t>可基本实现“最多跑一次”，解决了群众办事难等问题。</w:t>
            </w:r>
          </w:p>
          <w:p>
            <w:pPr>
              <w:widowControl/>
              <w:spacing w:before="100" w:beforeAutospacing="1" w:after="100" w:afterAutospacing="1" w:line="579" w:lineRule="exact"/>
              <w:ind w:firstLine="640"/>
              <w:jc w:val="left"/>
              <w:rPr>
                <w:rFonts w:ascii="黑体" w:hAnsi="黑体" w:eastAsia="黑体" w:cs="宋体"/>
                <w:color w:val="333333"/>
                <w:kern w:val="0"/>
                <w:sz w:val="32"/>
                <w:szCs w:val="32"/>
              </w:rPr>
            </w:pPr>
            <w:r>
              <w:rPr>
                <w:rFonts w:hint="eastAsia" w:ascii="黑体" w:hAnsi="黑体" w:eastAsia="黑体" w:cs="Tahoma"/>
                <w:color w:val="000000"/>
                <w:kern w:val="0"/>
                <w:sz w:val="32"/>
                <w:szCs w:val="32"/>
              </w:rPr>
              <w:t>四</w:t>
            </w:r>
            <w:r>
              <w:rPr>
                <w:rFonts w:ascii="黑体" w:hAnsi="黑体" w:eastAsia="黑体" w:cs="Tahoma"/>
                <w:color w:val="000000"/>
                <w:kern w:val="0"/>
                <w:sz w:val="32"/>
                <w:szCs w:val="32"/>
              </w:rPr>
              <w:t>、持之以恒地做好民心网诉求工作</w:t>
            </w:r>
          </w:p>
          <w:p>
            <w:pPr>
              <w:widowControl/>
              <w:spacing w:before="100" w:beforeAutospacing="1" w:after="100" w:afterAutospacing="1" w:line="579" w:lineRule="exact"/>
              <w:ind w:firstLine="405"/>
              <w:rPr>
                <w:rFonts w:ascii="仿宋" w:hAnsi="仿宋" w:eastAsia="仿宋" w:cs="Tahoma"/>
                <w:color w:val="000000"/>
                <w:kern w:val="0"/>
                <w:sz w:val="32"/>
                <w:szCs w:val="32"/>
              </w:rPr>
            </w:pPr>
            <w:r>
              <w:rPr>
                <w:rFonts w:ascii="仿宋" w:hAnsi="仿宋" w:eastAsia="仿宋" w:cs="Tahoma"/>
                <w:color w:val="000000"/>
                <w:kern w:val="0"/>
                <w:sz w:val="32"/>
                <w:szCs w:val="32"/>
              </w:rPr>
              <w:t>“群众利益无小事，一枝一叶总关情”。201</w:t>
            </w:r>
            <w:r>
              <w:rPr>
                <w:rFonts w:hint="eastAsia" w:ascii="仿宋" w:hAnsi="仿宋" w:eastAsia="仿宋" w:cs="Tahoma"/>
                <w:color w:val="000000"/>
                <w:kern w:val="0"/>
                <w:sz w:val="32"/>
                <w:szCs w:val="32"/>
              </w:rPr>
              <w:t>8</w:t>
            </w:r>
            <w:r>
              <w:rPr>
                <w:rFonts w:ascii="仿宋" w:hAnsi="仿宋" w:eastAsia="仿宋" w:cs="Tahoma"/>
                <w:color w:val="000000"/>
                <w:kern w:val="0"/>
                <w:sz w:val="32"/>
                <w:szCs w:val="32"/>
              </w:rPr>
              <w:t>年我局共为人民群众办理诉求问题</w:t>
            </w:r>
            <w:r>
              <w:rPr>
                <w:rFonts w:hint="eastAsia" w:ascii="仿宋" w:hAnsi="仿宋" w:eastAsia="仿宋" w:cs="Tahoma"/>
                <w:color w:val="000000"/>
                <w:kern w:val="0"/>
                <w:sz w:val="32"/>
                <w:szCs w:val="32"/>
              </w:rPr>
              <w:t>9</w:t>
            </w:r>
            <w:r>
              <w:rPr>
                <w:rFonts w:ascii="仿宋" w:hAnsi="仿宋" w:eastAsia="仿宋" w:cs="Tahoma"/>
                <w:color w:val="000000"/>
                <w:kern w:val="0"/>
                <w:sz w:val="32"/>
                <w:szCs w:val="32"/>
              </w:rPr>
              <w:t>件，办结</w:t>
            </w:r>
            <w:r>
              <w:rPr>
                <w:rFonts w:hint="eastAsia" w:ascii="仿宋" w:hAnsi="仿宋" w:eastAsia="仿宋" w:cs="Tahoma"/>
                <w:color w:val="000000"/>
                <w:kern w:val="0"/>
                <w:sz w:val="32"/>
                <w:szCs w:val="32"/>
              </w:rPr>
              <w:t>9</w:t>
            </w:r>
            <w:r>
              <w:rPr>
                <w:rFonts w:ascii="仿宋" w:hAnsi="仿宋" w:eastAsia="仿宋" w:cs="Tahoma"/>
                <w:color w:val="000000"/>
                <w:kern w:val="0"/>
                <w:sz w:val="32"/>
                <w:szCs w:val="32"/>
              </w:rPr>
              <w:t>件，民心网给予评星</w:t>
            </w:r>
            <w:r>
              <w:rPr>
                <w:rFonts w:hint="eastAsia" w:ascii="仿宋" w:hAnsi="仿宋" w:eastAsia="仿宋" w:cs="Tahoma"/>
                <w:color w:val="000000"/>
                <w:kern w:val="0"/>
                <w:sz w:val="32"/>
                <w:szCs w:val="32"/>
              </w:rPr>
              <w:t>5星件7</w:t>
            </w:r>
            <w:r>
              <w:rPr>
                <w:rFonts w:ascii="仿宋" w:hAnsi="仿宋" w:eastAsia="仿宋" w:cs="Tahoma"/>
                <w:color w:val="000000"/>
                <w:kern w:val="0"/>
                <w:sz w:val="32"/>
                <w:szCs w:val="32"/>
              </w:rPr>
              <w:t>件，</w:t>
            </w:r>
            <w:r>
              <w:rPr>
                <w:rFonts w:hint="eastAsia" w:ascii="仿宋" w:hAnsi="仿宋" w:eastAsia="仿宋" w:cs="Tahoma"/>
                <w:color w:val="000000"/>
                <w:kern w:val="0"/>
                <w:sz w:val="32"/>
                <w:szCs w:val="32"/>
              </w:rPr>
              <w:t>其余2件属咨询件不参与评星。</w:t>
            </w:r>
            <w:r>
              <w:rPr>
                <w:rFonts w:ascii="仿宋" w:hAnsi="仿宋" w:eastAsia="仿宋" w:cs="Tahoma"/>
                <w:color w:val="000000"/>
                <w:kern w:val="0"/>
                <w:sz w:val="32"/>
                <w:szCs w:val="32"/>
              </w:rPr>
              <w:t>民心网要讲温暖、讲感情、讲正义，同时也要讲原则，讲制度面前人人平等</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我局兢兢业业，踏实</w:t>
            </w:r>
            <w:r>
              <w:rPr>
                <w:rFonts w:hint="eastAsia" w:ascii="仿宋" w:hAnsi="仿宋" w:eastAsia="仿宋" w:cs="Tahoma"/>
                <w:color w:val="000000"/>
                <w:kern w:val="0"/>
                <w:sz w:val="32"/>
                <w:szCs w:val="32"/>
              </w:rPr>
              <w:t>的</w:t>
            </w:r>
            <w:r>
              <w:rPr>
                <w:rFonts w:ascii="仿宋" w:hAnsi="仿宋" w:eastAsia="仿宋" w:cs="Tahoma"/>
                <w:color w:val="000000"/>
                <w:kern w:val="0"/>
                <w:sz w:val="32"/>
                <w:szCs w:val="32"/>
              </w:rPr>
              <w:t>办好每一件转办件</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做到“件件有着落，事事有回音，投诉人满意”。</w:t>
            </w:r>
          </w:p>
          <w:p>
            <w:pPr>
              <w:adjustRightInd w:val="0"/>
              <w:snapToGrid w:val="0"/>
              <w:spacing w:line="579" w:lineRule="exact"/>
              <w:ind w:firstLine="640" w:firstLineChars="200"/>
              <w:rPr>
                <w:rFonts w:ascii="黑体" w:hAnsi="黑体" w:eastAsia="黑体" w:cs="仿宋"/>
                <w:sz w:val="32"/>
                <w:szCs w:val="32"/>
              </w:rPr>
            </w:pPr>
            <w:r>
              <w:rPr>
                <w:rFonts w:hint="eastAsia" w:ascii="黑体" w:hAnsi="黑体" w:eastAsia="黑体" w:cs="仿宋"/>
                <w:sz w:val="32"/>
                <w:szCs w:val="32"/>
              </w:rPr>
              <w:t>五、重点领域政府信息公开情况</w:t>
            </w:r>
          </w:p>
          <w:p>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（一）社会救助工作</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1、加强动态管理，低保审批进退公开透明</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2018年底，溪湖区有城市低保户4001户6843人，全年累计发放保障金3605.09万元。农村低保户145户244人，全年累计发放保障金74.33万元。城市低保边缘户212户574人。特困供养人员159人，共累计发放保障金131.52万元。</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溪湖区民政局社会救助办公室通过公开透明的审批制度，坚持“应保尽保，应退则退”的工作承诺。</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2、完成本年度救助金调标工作</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根据《本溪市人民政府办公厅关于提高城乡居民最低生活保障和特困人员救助供养标准的通知》（本政办发〔2018〕43号）文件内容：市政府决定自2018年7月1日起提高城乡居民最低生活保障和特困人员救助供养标准。</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一是提高城市低保标准。各区城市低保标准每人每月由550元提高到583元；人均月提高保障金33元。</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二是提高农村低保标准。各区农村低保标准每人每年由4044元提高到4452元；年提高保障金408元，月提高保障金34元。</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三是提高特困人员救助标准。各区城市标准每人每月由825元提高到875元；人均月提高保障金50元。各区农村标准每人每年由7284元提高到8016元；年提高保障金732元，月提高保障金61元。</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溪湖民政局为快速、稳妥、准确的完成本年度低保和特困人员提标工作，于2018年4月起，开展全区性城乡低保、特困人员大规模复查工作，逐户核定困难户家庭状况，进一步确定调整对象家庭实际情况，提出“零误差”的工作要求。复查工作于6月中旬结束，6月末全面调整我区社会救助资金，此次共调整3506人，调整资金13.37万元。</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3、全面落实各项配套救助政策</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一是落实医疗救助制度的同时对特殊困难的城市低保户实施二次医疗救助，救助困难群众61人，救助金额达65万元，有效的解决了困难群众的就医问题。</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二是落实城市特困居民非集中采暖补贴政策，救助符合非集中供暖补贴条件的城乡低保户、低保边缘户特困供养人员1238户发放取暖救助资金57.23万元。</w:t>
            </w:r>
          </w:p>
          <w:p>
            <w:pPr>
              <w:tabs>
                <w:tab w:val="left" w:pos="5931"/>
              </w:tabs>
              <w:spacing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三是为城乡低保户、低保边缘户中3104户符合集中供暖对象采暖费减免条件的困难群众，减免采暖费388.19万元。</w:t>
            </w:r>
          </w:p>
          <w:p>
            <w:pPr>
              <w:widowControl/>
              <w:spacing w:before="100" w:beforeAutospacing="1" w:after="100" w:afterAutospacing="1"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四是全力推进临时救助工作，截</w:t>
            </w:r>
            <w:r>
              <w:rPr>
                <w:rFonts w:hint="eastAsia" w:ascii="仿宋" w:hAnsi="仿宋" w:eastAsia="仿宋" w:cs="Times New Roman"/>
                <w:color w:val="000000" w:themeColor="text1"/>
                <w:sz w:val="32"/>
                <w:szCs w:val="32"/>
                <w:lang w:eastAsia="zh-CN"/>
              </w:rPr>
              <w:t>至</w:t>
            </w:r>
            <w:bookmarkStart w:id="0" w:name="_GoBack"/>
            <w:bookmarkEnd w:id="0"/>
            <w:r>
              <w:rPr>
                <w:rFonts w:hint="eastAsia" w:ascii="仿宋" w:hAnsi="仿宋" w:eastAsia="仿宋" w:cs="Times New Roman"/>
                <w:color w:val="000000" w:themeColor="text1"/>
                <w:sz w:val="32"/>
                <w:szCs w:val="32"/>
              </w:rPr>
              <w:t>目前，我区共救助各类困难群众3944人次，发放救助资金80.91万元。其中含低保对象3687人次，特困人员71人次，非保障对象186人次。因突发事件救助31人次，因重病救助181人次，其他原因救助3724人次。</w:t>
            </w:r>
          </w:p>
          <w:p>
            <w:pPr>
              <w:widowControl/>
              <w:spacing w:before="100" w:beforeAutospacing="1" w:after="100" w:afterAutospacing="1"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4、根据省民政厅要求，区民政局在2018年7月13日、公示时间为 2018年8月22日，公示城乡低保、特困供养保障人口的姓名、家庭人口数、所在社区及保障金（对未成年人、艾滋病患者不公示其真实姓名）等情况。</w:t>
            </w:r>
          </w:p>
          <w:p>
            <w:pPr>
              <w:widowControl/>
              <w:spacing w:before="100" w:beforeAutospacing="1" w:after="100" w:afterAutospacing="1" w:line="579" w:lineRule="exact"/>
              <w:ind w:firstLine="64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（二）社会福利工作</w:t>
            </w:r>
          </w:p>
          <w:p>
            <w:pPr>
              <w:widowControl/>
              <w:spacing w:before="100" w:beforeAutospacing="1" w:after="100" w:afterAutospacing="1" w:line="579" w:lineRule="exact"/>
              <w:ind w:firstLine="64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2018年，新审批民办养老机构7家，新增床位240张，1家养老院申请停业，现全区入住率达64.7%。审核上报2017年民办养老机构运营补贴资金211.6万元，并制定运营补贴日常监管制度。</w:t>
            </w:r>
          </w:p>
          <w:p>
            <w:pPr>
              <w:widowControl/>
              <w:shd w:val="clear" w:color="auto" w:fill="FFFFFF"/>
              <w:spacing w:before="100" w:beforeAutospacing="1" w:after="100" w:afterAutospacing="1" w:line="579" w:lineRule="exact"/>
              <w:rPr>
                <w:rFonts w:ascii="黑体" w:hAnsi="黑体" w:eastAsia="黑体" w:cs="宋体"/>
                <w:color w:val="333333"/>
                <w:kern w:val="0"/>
                <w:sz w:val="32"/>
                <w:szCs w:val="32"/>
              </w:rPr>
            </w:pPr>
            <w:r>
              <w:rPr>
                <w:rFonts w:ascii="Tahoma" w:hAnsi="Tahoma" w:eastAsia="仿宋" w:cs="Tahoma"/>
                <w:color w:val="000000"/>
                <w:kern w:val="0"/>
                <w:sz w:val="32"/>
                <w:szCs w:val="32"/>
                <w:shd w:val="clear" w:color="auto" w:fill="FFFFFF"/>
              </w:rPr>
              <w:t>     </w:t>
            </w:r>
            <w:r>
              <w:rPr>
                <w:rFonts w:ascii="Tahoma" w:hAnsi="Tahoma" w:eastAsia="黑体" w:cs="Tahoma"/>
                <w:color w:val="000000"/>
                <w:kern w:val="0"/>
                <w:sz w:val="32"/>
                <w:szCs w:val="32"/>
              </w:rPr>
              <w:t> </w:t>
            </w:r>
            <w:r>
              <w:rPr>
                <w:rFonts w:hint="eastAsia" w:ascii="黑体" w:hAnsi="黑体" w:eastAsia="黑体" w:cs="Tahoma"/>
                <w:color w:val="000000"/>
                <w:kern w:val="0"/>
                <w:sz w:val="32"/>
                <w:szCs w:val="32"/>
                <w:shd w:val="clear" w:color="auto" w:fill="FFFFFF"/>
              </w:rPr>
              <w:t>六</w:t>
            </w:r>
            <w:r>
              <w:rPr>
                <w:rFonts w:ascii="黑体" w:hAnsi="黑体" w:eastAsia="黑体" w:cs="Tahoma"/>
                <w:color w:val="000000"/>
                <w:kern w:val="0"/>
                <w:sz w:val="32"/>
                <w:szCs w:val="32"/>
                <w:shd w:val="clear" w:color="auto" w:fill="FFFFFF"/>
              </w:rPr>
              <w:t>、政府信息公开工作存在的主要问题及改进措施</w:t>
            </w:r>
          </w:p>
          <w:p>
            <w:pPr>
              <w:widowControl/>
              <w:shd w:val="clear" w:color="auto" w:fill="FFFFFF"/>
              <w:spacing w:before="100" w:beforeAutospacing="1" w:after="100" w:afterAutospacing="1" w:line="579" w:lineRule="exact"/>
              <w:rPr>
                <w:rFonts w:ascii="仿宋" w:hAnsi="仿宋" w:eastAsia="仿宋" w:cs="Tahoma"/>
                <w:color w:val="000000"/>
                <w:kern w:val="0"/>
                <w:sz w:val="32"/>
                <w:szCs w:val="32"/>
                <w:shd w:val="clear" w:color="auto" w:fill="FFFFFF"/>
              </w:rPr>
            </w:pPr>
            <w:r>
              <w:rPr>
                <w:rFonts w:ascii="Tahoma" w:hAnsi="Tahoma" w:eastAsia="仿宋" w:cs="Tahoma"/>
                <w:color w:val="000000"/>
                <w:kern w:val="0"/>
                <w:sz w:val="32"/>
                <w:szCs w:val="32"/>
                <w:shd w:val="clear" w:color="auto" w:fill="FFFFFF"/>
              </w:rPr>
              <w:t>   </w:t>
            </w:r>
            <w:r>
              <w:rPr>
                <w:rFonts w:ascii="仿宋" w:hAnsi="仿宋" w:eastAsia="仿宋" w:cs="Tahoma"/>
                <w:color w:val="000000"/>
                <w:kern w:val="0"/>
                <w:sz w:val="32"/>
                <w:szCs w:val="32"/>
                <w:shd w:val="clear" w:color="auto" w:fill="FFFFFF"/>
              </w:rPr>
              <w:t xml:space="preserve"> </w:t>
            </w:r>
            <w:r>
              <w:rPr>
                <w:rFonts w:ascii="Tahoma" w:hAnsi="Tahoma" w:eastAsia="仿宋" w:cs="Tahoma"/>
                <w:color w:val="000000"/>
                <w:kern w:val="0"/>
                <w:sz w:val="32"/>
                <w:szCs w:val="32"/>
                <w:shd w:val="clear" w:color="auto" w:fill="FFFFFF"/>
              </w:rPr>
              <w:t> </w:t>
            </w:r>
            <w:r>
              <w:rPr>
                <w:rFonts w:ascii="仿宋" w:hAnsi="仿宋" w:eastAsia="仿宋" w:cs="Tahoma"/>
                <w:color w:val="000000"/>
                <w:kern w:val="0"/>
                <w:sz w:val="32"/>
                <w:szCs w:val="32"/>
                <w:shd w:val="clear" w:color="auto" w:fill="FFFFFF"/>
              </w:rPr>
              <w:t>一年来，我局坚持公开、公正、规范、高效、便民、廉政、勤政的基本要求，以依法公开、规范高效、强化监督为原则，积极公布公开各类信息。通过政务公开，既加强了工作的透明度，推进了单位的廉政建设，也密切了与群众的关系。但同时我们也发现了一些不足，主要为信息公开渠道还不够广泛、公开内容还有待拓展。下一步我们将深化政务公开内容，更加突出群众关心的重点、难点、焦点问题，积极拓展渠道，丰富政务公开形式。以展示政府阳光形象为重点，以创新便民服务举措为落脚点，以完善平台建设为抓手，全面做好政务信息公开工作。</w:t>
            </w:r>
          </w:p>
          <w:p>
            <w:pPr>
              <w:widowControl/>
              <w:shd w:val="clear" w:color="auto" w:fill="FFFFFF"/>
              <w:spacing w:before="100" w:beforeAutospacing="1" w:after="100" w:afterAutospacing="1" w:line="579" w:lineRule="exact"/>
              <w:rPr>
                <w:rFonts w:ascii="仿宋" w:hAnsi="仿宋" w:eastAsia="仿宋" w:cs="Tahoma"/>
                <w:color w:val="000000"/>
                <w:kern w:val="0"/>
                <w:sz w:val="32"/>
                <w:szCs w:val="32"/>
                <w:shd w:val="clear" w:color="auto" w:fill="FFFFFF"/>
              </w:rPr>
            </w:pPr>
          </w:p>
          <w:p>
            <w:pPr>
              <w:widowControl/>
              <w:shd w:val="clear" w:color="auto" w:fill="FFFFFF"/>
              <w:spacing w:before="100" w:beforeAutospacing="1" w:after="100" w:afterAutospacing="1" w:line="579" w:lineRule="exact"/>
              <w:rPr>
                <w:rFonts w:ascii="仿宋" w:hAnsi="仿宋" w:eastAsia="仿宋" w:cs="Tahoma"/>
                <w:color w:val="000000"/>
                <w:kern w:val="0"/>
                <w:sz w:val="32"/>
                <w:szCs w:val="32"/>
                <w:shd w:val="clear" w:color="auto" w:fill="FFFFFF"/>
              </w:rPr>
            </w:pPr>
          </w:p>
          <w:p>
            <w:pPr>
              <w:widowControl/>
              <w:shd w:val="clear" w:color="auto" w:fill="FFFFFF"/>
              <w:spacing w:before="100" w:beforeAutospacing="1" w:after="100" w:afterAutospacing="1" w:line="579" w:lineRule="exact"/>
              <w:ind w:right="640" w:firstLine="4800" w:firstLineChars="1500"/>
              <w:rPr>
                <w:rFonts w:ascii="仿宋" w:hAnsi="仿宋" w:eastAsia="仿宋" w:cs="Tahoma"/>
                <w:color w:val="000000"/>
                <w:kern w:val="0"/>
                <w:sz w:val="32"/>
                <w:szCs w:val="32"/>
                <w:shd w:val="clear" w:color="auto" w:fill="FFFFFF"/>
              </w:rPr>
            </w:pPr>
            <w:r>
              <w:rPr>
                <w:rFonts w:hint="eastAsia" w:ascii="仿宋" w:hAnsi="仿宋" w:eastAsia="仿宋" w:cs="Tahoma"/>
                <w:color w:val="000000"/>
                <w:kern w:val="0"/>
                <w:sz w:val="32"/>
                <w:szCs w:val="32"/>
                <w:shd w:val="clear" w:color="auto" w:fill="FFFFFF"/>
              </w:rPr>
              <w:t>溪湖区民政局</w:t>
            </w:r>
          </w:p>
          <w:p>
            <w:pPr>
              <w:widowControl/>
              <w:shd w:val="clear" w:color="auto" w:fill="FFFFFF"/>
              <w:spacing w:before="100" w:beforeAutospacing="1" w:after="100" w:afterAutospacing="1" w:line="579" w:lineRule="exact"/>
              <w:ind w:right="640"/>
              <w:jc w:val="center"/>
              <w:rPr>
                <w:rFonts w:ascii="仿宋" w:hAnsi="仿宋" w:eastAsia="仿宋" w:cs="宋体"/>
                <w:color w:val="333333"/>
                <w:kern w:val="0"/>
                <w:sz w:val="32"/>
                <w:szCs w:val="32"/>
              </w:rPr>
            </w:pPr>
            <w:r>
              <w:rPr>
                <w:rFonts w:hint="eastAsia" w:ascii="仿宋" w:hAnsi="仿宋" w:eastAsia="仿宋" w:cs="Tahoma"/>
                <w:color w:val="000000"/>
                <w:kern w:val="0"/>
                <w:sz w:val="32"/>
                <w:szCs w:val="32"/>
                <w:shd w:val="clear" w:color="auto" w:fill="FFFFFF"/>
              </w:rPr>
              <w:t xml:space="preserve">                        2019年2月13日</w:t>
            </w:r>
          </w:p>
        </w:tc>
      </w:tr>
    </w:tbl>
    <w:p>
      <w:pPr>
        <w:spacing w:line="579"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379B"/>
    <w:rsid w:val="0002675C"/>
    <w:rsid w:val="00031E60"/>
    <w:rsid w:val="00077F63"/>
    <w:rsid w:val="00081311"/>
    <w:rsid w:val="00091D94"/>
    <w:rsid w:val="000D39C9"/>
    <w:rsid w:val="000F4763"/>
    <w:rsid w:val="0014727A"/>
    <w:rsid w:val="00154936"/>
    <w:rsid w:val="00156880"/>
    <w:rsid w:val="0018550A"/>
    <w:rsid w:val="001A74E4"/>
    <w:rsid w:val="001B4348"/>
    <w:rsid w:val="001B7522"/>
    <w:rsid w:val="001D34B1"/>
    <w:rsid w:val="001E24A9"/>
    <w:rsid w:val="0020379B"/>
    <w:rsid w:val="002366DE"/>
    <w:rsid w:val="00251A5C"/>
    <w:rsid w:val="00252542"/>
    <w:rsid w:val="00260C64"/>
    <w:rsid w:val="00281E9E"/>
    <w:rsid w:val="002C3EED"/>
    <w:rsid w:val="002D63EA"/>
    <w:rsid w:val="002E12C0"/>
    <w:rsid w:val="0036585C"/>
    <w:rsid w:val="00375F1D"/>
    <w:rsid w:val="003C5BB9"/>
    <w:rsid w:val="003E3E30"/>
    <w:rsid w:val="003F041D"/>
    <w:rsid w:val="004701DC"/>
    <w:rsid w:val="00557795"/>
    <w:rsid w:val="00570B6A"/>
    <w:rsid w:val="00590642"/>
    <w:rsid w:val="00606C7B"/>
    <w:rsid w:val="00620891"/>
    <w:rsid w:val="0062275D"/>
    <w:rsid w:val="00692ACA"/>
    <w:rsid w:val="0069571E"/>
    <w:rsid w:val="00696409"/>
    <w:rsid w:val="007475E6"/>
    <w:rsid w:val="00763DB5"/>
    <w:rsid w:val="007C75A5"/>
    <w:rsid w:val="00805ABD"/>
    <w:rsid w:val="008664C5"/>
    <w:rsid w:val="00872CA0"/>
    <w:rsid w:val="00885434"/>
    <w:rsid w:val="008B13D1"/>
    <w:rsid w:val="0090118A"/>
    <w:rsid w:val="009073AA"/>
    <w:rsid w:val="00966DEA"/>
    <w:rsid w:val="00975E23"/>
    <w:rsid w:val="009E79CA"/>
    <w:rsid w:val="00A4116B"/>
    <w:rsid w:val="00AA7693"/>
    <w:rsid w:val="00AC6745"/>
    <w:rsid w:val="00AF015F"/>
    <w:rsid w:val="00B32A70"/>
    <w:rsid w:val="00B4646E"/>
    <w:rsid w:val="00BD566E"/>
    <w:rsid w:val="00C22C83"/>
    <w:rsid w:val="00C749F2"/>
    <w:rsid w:val="00D03AA8"/>
    <w:rsid w:val="00D50EAD"/>
    <w:rsid w:val="00DA14AB"/>
    <w:rsid w:val="00DD1210"/>
    <w:rsid w:val="00E14ADC"/>
    <w:rsid w:val="00E16294"/>
    <w:rsid w:val="00EA2BD6"/>
    <w:rsid w:val="00F261EB"/>
    <w:rsid w:val="00FA0B06"/>
    <w:rsid w:val="00FC154D"/>
    <w:rsid w:val="72A70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563</Words>
  <Characters>3215</Characters>
  <Lines>26</Lines>
  <Paragraphs>7</Paragraphs>
  <TotalTime>433</TotalTime>
  <ScaleCrop>false</ScaleCrop>
  <LinksUpToDate>false</LinksUpToDate>
  <CharactersWithSpaces>3771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2019-02-12T01:35:00Z</dcterms:created>
  <dc:creator>PC</dc:creator>
  <cp:lastModifiedBy>之</cp:lastModifiedBy>
  <dcterms:modified xsi:type="dcterms:W3CDTF">2022-03-16T05:28:32Z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