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司法局</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司法局</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司法局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司法局</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司法局</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spacing w:line="540" w:lineRule="exact"/>
        <w:ind w:firstLine="64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r>
        <w:rPr>
          <w:rFonts w:hint="eastAsia" w:ascii="仿宋_GB2312" w:eastAsia="仿宋_GB2312"/>
          <w:sz w:val="32"/>
          <w:szCs w:val="32"/>
        </w:rPr>
        <w:t>（一）贯彻执行党和国家、省、市有关司法行政工作的方针、政策和法律、法规及规章；拟定司法行政规范性文件，编制全市司法行政工作的中长期规划、年度</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"http://www.so.com/s?q=%E5%B7%A5%E4%BD%9C%E8%AE%A1%E5%88%92&amp;ie=utf-8&amp;src=wenda_link" \t "http://wenda.so.com/q/_blank" </w:instrText>
      </w:r>
      <w:r>
        <w:rPr>
          <w:rFonts w:hint="eastAsia" w:ascii="仿宋_GB2312" w:eastAsia="仿宋_GB2312"/>
          <w:sz w:val="32"/>
          <w:szCs w:val="32"/>
        </w:rPr>
        <w:fldChar w:fldCharType="separate"/>
      </w:r>
      <w:r>
        <w:rPr>
          <w:rFonts w:hint="eastAsia" w:ascii="仿宋_GB2312" w:eastAsia="仿宋_GB2312"/>
          <w:sz w:val="32"/>
          <w:szCs w:val="32"/>
        </w:rPr>
        <w:t>工作计划</w:t>
      </w:r>
      <w:r>
        <w:rPr>
          <w:rFonts w:hint="eastAsia" w:ascii="仿宋_GB2312" w:eastAsia="仿宋_GB2312"/>
          <w:sz w:val="32"/>
          <w:szCs w:val="32"/>
        </w:rPr>
        <w:fldChar w:fldCharType="end"/>
      </w:r>
      <w:r>
        <w:rPr>
          <w:rFonts w:hint="eastAsia" w:ascii="仿宋_GB2312" w:eastAsia="仿宋_GB2312"/>
          <w:sz w:val="32"/>
          <w:szCs w:val="32"/>
        </w:rPr>
        <w:t>，并组织和监督实施。（二）制定本级法制宣传教育普及</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"http://www.so.com/s?q=%E6%B3%95%E5%BE%8B%E5%B8%B8%E8%AF%86&amp;ie=utf-8&amp;src=wenda_link" \t "http://wenda.so.com/q/_blank" </w:instrText>
      </w:r>
      <w:r>
        <w:rPr>
          <w:rFonts w:hint="eastAsia" w:ascii="仿宋_GB2312" w:eastAsia="仿宋_GB2312"/>
          <w:sz w:val="32"/>
          <w:szCs w:val="32"/>
        </w:rPr>
        <w:fldChar w:fldCharType="separate"/>
      </w:r>
      <w:r>
        <w:rPr>
          <w:rFonts w:hint="eastAsia" w:ascii="仿宋_GB2312" w:eastAsia="仿宋_GB2312"/>
          <w:sz w:val="32"/>
          <w:szCs w:val="32"/>
        </w:rPr>
        <w:t>法律常识</w:t>
      </w:r>
      <w:r>
        <w:rPr>
          <w:rFonts w:hint="eastAsia" w:ascii="仿宋_GB2312" w:eastAsia="仿宋_GB2312"/>
          <w:sz w:val="32"/>
          <w:szCs w:val="32"/>
        </w:rPr>
        <w:fldChar w:fldCharType="end"/>
      </w:r>
      <w:r>
        <w:rPr>
          <w:rFonts w:hint="eastAsia" w:ascii="仿宋_GB2312" w:eastAsia="仿宋_GB2312"/>
          <w:sz w:val="32"/>
          <w:szCs w:val="32"/>
        </w:rPr>
        <w:t>和依法治理规划并组织实施，指导下级、本级各部门和各行各业的法制宣传教育和依法治理工作。（三）指导、管理公证、律师以及</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"http://www.so.com/s?q=%E6%B3%95%E5%BE%8B%E6%8F%B4%E5%8A%A9&amp;ie=utf-8&amp;src=wenda_link" \t "http://wenda.so.com/q/_blank" </w:instrText>
      </w:r>
      <w:r>
        <w:rPr>
          <w:rFonts w:hint="eastAsia" w:ascii="仿宋_GB2312" w:eastAsia="仿宋_GB2312"/>
          <w:sz w:val="32"/>
          <w:szCs w:val="32"/>
        </w:rPr>
        <w:fldChar w:fldCharType="separate"/>
      </w:r>
      <w:r>
        <w:rPr>
          <w:rFonts w:hint="eastAsia" w:ascii="仿宋_GB2312" w:eastAsia="仿宋_GB2312"/>
          <w:sz w:val="32"/>
          <w:szCs w:val="32"/>
        </w:rPr>
        <w:t>法律援助</w:t>
      </w:r>
      <w:r>
        <w:rPr>
          <w:rFonts w:hint="eastAsia" w:ascii="仿宋_GB2312" w:eastAsia="仿宋_GB2312"/>
          <w:sz w:val="32"/>
          <w:szCs w:val="32"/>
        </w:rPr>
        <w:fldChar w:fldCharType="end"/>
      </w:r>
      <w:r>
        <w:rPr>
          <w:rFonts w:hint="eastAsia" w:ascii="仿宋_GB2312" w:eastAsia="仿宋_GB2312"/>
          <w:sz w:val="32"/>
          <w:szCs w:val="32"/>
        </w:rPr>
        <w:t>和司法鉴定等工作。（四）指导人民调解和刑释解教人员的</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"http://www.so.com/s?q=%E5%AE%89%E7%BD%AE%E5%B8%AE%E6%95%99&amp;ie=utf-8&amp;src=wenda_link" \t "http://wenda.so.com/q/_blank" </w:instrText>
      </w:r>
      <w:r>
        <w:rPr>
          <w:rFonts w:hint="eastAsia" w:ascii="仿宋_GB2312" w:eastAsia="仿宋_GB2312"/>
          <w:sz w:val="32"/>
          <w:szCs w:val="32"/>
        </w:rPr>
        <w:fldChar w:fldCharType="separate"/>
      </w:r>
      <w:r>
        <w:rPr>
          <w:rFonts w:hint="eastAsia" w:ascii="仿宋_GB2312" w:eastAsia="仿宋_GB2312"/>
          <w:sz w:val="32"/>
          <w:szCs w:val="32"/>
        </w:rPr>
        <w:t>安置帮教</w:t>
      </w:r>
      <w:r>
        <w:rPr>
          <w:rFonts w:hint="eastAsia" w:ascii="仿宋_GB2312" w:eastAsia="仿宋_GB2312"/>
          <w:sz w:val="32"/>
          <w:szCs w:val="32"/>
        </w:rPr>
        <w:fldChar w:fldCharType="end"/>
      </w:r>
      <w:r>
        <w:rPr>
          <w:rFonts w:hint="eastAsia" w:ascii="仿宋_GB2312" w:eastAsia="仿宋_GB2312"/>
          <w:sz w:val="32"/>
          <w:szCs w:val="32"/>
        </w:rPr>
        <w:t>以及基层法律服务、基层调委会、</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"http://www.so.com/s?q=%E5%8F%B8%E6%B3%95%E6%89%80&amp;ie=utf-8&amp;src=wenda_link" \t "http://wenda.so.com/q/_blank" </w:instrText>
      </w:r>
      <w:r>
        <w:rPr>
          <w:rFonts w:hint="eastAsia" w:ascii="仿宋_GB2312" w:eastAsia="仿宋_GB2312"/>
          <w:sz w:val="32"/>
          <w:szCs w:val="32"/>
        </w:rPr>
        <w:fldChar w:fldCharType="separate"/>
      </w:r>
      <w:r>
        <w:rPr>
          <w:rFonts w:hint="eastAsia" w:ascii="仿宋_GB2312" w:eastAsia="仿宋_GB2312"/>
          <w:sz w:val="32"/>
          <w:szCs w:val="32"/>
        </w:rPr>
        <w:t>司法所</w:t>
      </w:r>
      <w:r>
        <w:rPr>
          <w:rFonts w:hint="eastAsia" w:ascii="仿宋_GB2312" w:eastAsia="仿宋_GB2312"/>
          <w:sz w:val="32"/>
          <w:szCs w:val="32"/>
        </w:rPr>
        <w:fldChar w:fldCharType="end"/>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"http://www.so.com/s?q=%E5%8F%B8%E6%B3%95%E5%8A%A9%E7%90%86%E5%91%98&amp;ie=utf-8&amp;src=wenda_link" \t "http://wenda.so.com/q/_blank" </w:instrText>
      </w:r>
      <w:r>
        <w:rPr>
          <w:rFonts w:hint="eastAsia" w:ascii="仿宋_GB2312" w:eastAsia="仿宋_GB2312"/>
          <w:sz w:val="32"/>
          <w:szCs w:val="32"/>
        </w:rPr>
        <w:fldChar w:fldCharType="separate"/>
      </w:r>
      <w:r>
        <w:rPr>
          <w:rFonts w:hint="eastAsia" w:ascii="仿宋_GB2312" w:eastAsia="仿宋_GB2312"/>
          <w:sz w:val="32"/>
          <w:szCs w:val="32"/>
        </w:rPr>
        <w:t>司法助理员</w:t>
      </w:r>
      <w:r>
        <w:rPr>
          <w:rFonts w:hint="eastAsia" w:ascii="仿宋_GB2312" w:eastAsia="仿宋_GB2312"/>
          <w:sz w:val="32"/>
          <w:szCs w:val="32"/>
        </w:rPr>
        <w:fldChar w:fldCharType="end"/>
      </w:r>
      <w:r>
        <w:rPr>
          <w:rFonts w:hint="eastAsia" w:ascii="仿宋_GB2312" w:eastAsia="仿宋_GB2312"/>
          <w:sz w:val="32"/>
          <w:szCs w:val="32"/>
        </w:rPr>
        <w:t>工作。（五）指导和管理司法行政系统党的建设、队伍建设、</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"http://www.so.com/s?q=%E7%B2%BE%E7%A5%9E%E6%96%87%E6%98%8E%E5%BB%BA%E8%AE%BE&amp;ie=utf-8&amp;src=wenda_link" \t "http://wenda.so.com/q/_blank" </w:instrText>
      </w:r>
      <w:r>
        <w:rPr>
          <w:rFonts w:hint="eastAsia" w:ascii="仿宋_GB2312" w:eastAsia="仿宋_GB2312"/>
          <w:sz w:val="32"/>
          <w:szCs w:val="32"/>
        </w:rPr>
        <w:fldChar w:fldCharType="separate"/>
      </w:r>
      <w:r>
        <w:rPr>
          <w:rFonts w:hint="eastAsia" w:ascii="仿宋_GB2312" w:eastAsia="仿宋_GB2312"/>
          <w:sz w:val="32"/>
          <w:szCs w:val="32"/>
        </w:rPr>
        <w:t>精神文明建设</w:t>
      </w:r>
      <w:r>
        <w:rPr>
          <w:rFonts w:hint="eastAsia" w:ascii="仿宋_GB2312" w:eastAsia="仿宋_GB2312"/>
          <w:sz w:val="32"/>
          <w:szCs w:val="32"/>
        </w:rPr>
        <w:fldChar w:fldCharType="end"/>
      </w:r>
      <w:r>
        <w:rPr>
          <w:rFonts w:hint="eastAsia" w:ascii="仿宋_GB2312" w:eastAsia="仿宋_GB2312"/>
          <w:sz w:val="32"/>
          <w:szCs w:val="32"/>
        </w:rPr>
        <w:t>和思想政治工作。（六）承办党委 政府和上级司法机关交办的其他事项。</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ind w:firstLine="720" w:firstLineChars="300"/>
        <w:jc w:val="left"/>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color w:val="333333"/>
          <w:kern w:val="0"/>
          <w:sz w:val="24"/>
          <w:szCs w:val="24"/>
          <w:lang w:eastAsia="zh-CN"/>
        </w:rPr>
        <w:t>无</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司法局</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421.10</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321.33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7.</w:t>
      </w:r>
      <w:r>
        <w:rPr>
          <w:rFonts w:hint="eastAsia" w:ascii="仿宋_GB2312" w:hAnsi="微软雅黑" w:eastAsia="仿宋_GB2312" w:cs="宋体"/>
          <w:color w:val="333333"/>
          <w:kern w:val="0"/>
          <w:sz w:val="32"/>
          <w:szCs w:val="32"/>
          <w:lang w:eastAsia="zh-CN"/>
        </w:rPr>
        <w:t>上年结转结余</w:t>
      </w:r>
      <w:r>
        <w:rPr>
          <w:rFonts w:hint="eastAsia" w:ascii="仿宋_GB2312" w:hAnsi="微软雅黑" w:eastAsia="仿宋_GB2312" w:cs="宋体"/>
          <w:color w:val="333333"/>
          <w:kern w:val="0"/>
          <w:sz w:val="32"/>
          <w:szCs w:val="32"/>
          <w:lang w:val="en-US" w:eastAsia="zh-CN"/>
        </w:rPr>
        <w:t>99.77万元；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421.10</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296.33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124.77</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28.88</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9.34</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人员增加及设备老旧损坏等原因需购置新办公设备</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万元，比2021年减少0</w:t>
      </w:r>
      <w:r>
        <w:rPr>
          <w:rFonts w:hint="eastAsia" w:ascii="仿宋_GB2312" w:hAnsi="微软雅黑" w:eastAsia="仿宋_GB2312" w:cs="宋体"/>
          <w:color w:val="333333"/>
          <w:kern w:val="0"/>
          <w:sz w:val="32"/>
          <w:szCs w:val="32"/>
          <w:lang w:val="en-US" w:eastAsia="zh-CN"/>
        </w:rPr>
        <w:t>.17</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7.4</w:t>
      </w:r>
      <w:r>
        <w:rPr>
          <w:rFonts w:hint="eastAsia" w:ascii="仿宋_GB2312" w:hAnsi="微软雅黑" w:eastAsia="仿宋_GB2312" w:cs="宋体"/>
          <w:color w:val="333333"/>
          <w:kern w:val="0"/>
          <w:sz w:val="32"/>
          <w:szCs w:val="32"/>
        </w:rPr>
        <w:t>%。其中：</w:t>
      </w:r>
    </w:p>
    <w:p>
      <w:pPr>
        <w:keepLines/>
        <w:widowControl/>
        <w:numPr>
          <w:numId w:val="0"/>
        </w:numPr>
        <w:shd w:val="clear" w:color="auto" w:fill="FFFFFF"/>
        <w:ind w:firstLine="640" w:firstLineChars="200"/>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因公出国（境）费0万元，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2021年持平</w:t>
      </w:r>
      <w:r>
        <w:rPr>
          <w:rFonts w:hint="eastAsia" w:ascii="仿宋_GB2312" w:hAnsi="微软雅黑" w:eastAsia="仿宋_GB2312" w:cs="宋体"/>
          <w:color w:val="333333"/>
          <w:kern w:val="0"/>
          <w:sz w:val="32"/>
          <w:szCs w:val="32"/>
          <w:lang w:eastAsia="zh-CN"/>
        </w:rPr>
        <w:t>。</w:t>
      </w:r>
    </w:p>
    <w:p>
      <w:pPr>
        <w:keepLines/>
        <w:widowControl/>
        <w:numPr>
          <w:numId w:val="0"/>
        </w:numPr>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2021年持平。</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2021年持平。</w:t>
      </w: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eastAsia="zh-CN"/>
        </w:rPr>
        <w:t>司法局</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2.27</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0.17</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bookmarkStart w:id="1" w:name="_GoBack"/>
            <w:bookmarkEnd w:id="1"/>
            <w:r>
              <w:rPr>
                <w:rFonts w:hint="eastAsia" w:ascii="宋体" w:hAnsi="宋体" w:eastAsia="宋体" w:cs="宋体"/>
                <w:kern w:val="0"/>
                <w:sz w:val="24"/>
                <w:szCs w:val="24"/>
                <w:lang w:val="en-US" w:eastAsia="zh-CN"/>
              </w:rPr>
              <w:t>.10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台，其中：一般执法执勤用车1辆</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lang w:eastAsia="zh-CN"/>
        </w:rPr>
        <w:t>无</w:t>
      </w:r>
      <w:r>
        <w:rPr>
          <w:rFonts w:hint="eastAsia" w:ascii="仿宋_GB2312" w:hAnsi="微软雅黑" w:eastAsia="仿宋_GB2312" w:cs="宋体"/>
          <w:color w:val="333333"/>
          <w:kern w:val="0"/>
          <w:sz w:val="32"/>
          <w:szCs w:val="32"/>
        </w:rPr>
        <w:t>其他国有资产</w:t>
      </w:r>
      <w:r>
        <w:rPr>
          <w:rFonts w:hint="eastAsia" w:ascii="仿宋_GB2312" w:hAnsi="微软雅黑" w:eastAsia="仿宋_GB2312" w:cs="宋体"/>
          <w:color w:val="333333"/>
          <w:kern w:val="0"/>
          <w:sz w:val="32"/>
          <w:szCs w:val="32"/>
          <w:lang w:eastAsia="zh-CN"/>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2022年应编制绩效目标的项目共</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124.77</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131D5E5C"/>
    <w:rsid w:val="1F31650A"/>
    <w:rsid w:val="348A2CD0"/>
    <w:rsid w:val="349637A1"/>
    <w:rsid w:val="37F42F1B"/>
    <w:rsid w:val="48F46D1C"/>
    <w:rsid w:val="7EFF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0</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ゼンナン</cp:lastModifiedBy>
  <dcterms:modified xsi:type="dcterms:W3CDTF">2021-12-29T06:32:25Z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7FB4A2E860924D66874F2D66BAEA8333</vt:lpwstr>
  </property>
</Properties>
</file>