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19" w:rsidRDefault="00862C19">
      <w:pPr>
        <w:widowControl/>
        <w:shd w:val="clear" w:color="auto" w:fill="FFFFFF"/>
        <w:jc w:val="center"/>
        <w:rPr>
          <w:rFonts w:ascii="宋体" w:eastAsia="宋体" w:hAnsi="宋体" w:cs="宋体"/>
          <w:b/>
          <w:bCs/>
          <w:color w:val="333333"/>
          <w:kern w:val="0"/>
          <w:sz w:val="53"/>
          <w:szCs w:val="53"/>
        </w:rPr>
      </w:pPr>
    </w:p>
    <w:p w:rsidR="00862C19" w:rsidRDefault="00862C19">
      <w:pPr>
        <w:widowControl/>
        <w:shd w:val="clear" w:color="auto" w:fill="FFFFFF"/>
        <w:jc w:val="center"/>
        <w:rPr>
          <w:rFonts w:ascii="宋体" w:eastAsia="宋体" w:hAnsi="宋体" w:cs="宋体"/>
          <w:b/>
          <w:bCs/>
          <w:color w:val="333333"/>
          <w:kern w:val="0"/>
          <w:sz w:val="53"/>
          <w:szCs w:val="53"/>
        </w:rPr>
      </w:pPr>
    </w:p>
    <w:p w:rsidR="00862C19" w:rsidRDefault="00862C19">
      <w:pPr>
        <w:widowControl/>
        <w:shd w:val="clear" w:color="auto" w:fill="FFFFFF"/>
        <w:jc w:val="center"/>
        <w:rPr>
          <w:rFonts w:ascii="宋体" w:eastAsia="宋体" w:hAnsi="宋体" w:cs="宋体"/>
          <w:b/>
          <w:bCs/>
          <w:color w:val="333333"/>
          <w:kern w:val="0"/>
          <w:sz w:val="53"/>
          <w:szCs w:val="53"/>
        </w:rPr>
      </w:pPr>
    </w:p>
    <w:p w:rsidR="00862C19" w:rsidRDefault="00862C19">
      <w:pPr>
        <w:widowControl/>
        <w:shd w:val="clear" w:color="auto" w:fill="FFFFFF"/>
        <w:jc w:val="center"/>
        <w:rPr>
          <w:rFonts w:ascii="宋体" w:eastAsia="宋体" w:hAnsi="宋体" w:cs="宋体"/>
          <w:b/>
          <w:bCs/>
          <w:color w:val="333333"/>
          <w:kern w:val="0"/>
          <w:sz w:val="53"/>
          <w:szCs w:val="53"/>
        </w:rPr>
      </w:pPr>
    </w:p>
    <w:p w:rsidR="00862C19" w:rsidRDefault="00862C19">
      <w:pPr>
        <w:widowControl/>
        <w:shd w:val="clear" w:color="auto" w:fill="FFFFFF"/>
        <w:jc w:val="center"/>
        <w:rPr>
          <w:rFonts w:ascii="宋体" w:eastAsia="宋体" w:hAnsi="宋体" w:cs="宋体"/>
          <w:b/>
          <w:bCs/>
          <w:color w:val="333333"/>
          <w:kern w:val="0"/>
          <w:sz w:val="53"/>
          <w:szCs w:val="53"/>
        </w:rPr>
      </w:pPr>
    </w:p>
    <w:p w:rsidR="00862C19" w:rsidRPr="00EA6B5E" w:rsidRDefault="00EA6B5E">
      <w:pPr>
        <w:widowControl/>
        <w:shd w:val="clear" w:color="auto" w:fill="FFFFFF"/>
        <w:jc w:val="center"/>
        <w:rPr>
          <w:rFonts w:ascii="微软雅黑" w:eastAsia="微软雅黑" w:hAnsi="微软雅黑" w:cs="宋体"/>
          <w:color w:val="333333"/>
          <w:kern w:val="0"/>
          <w:sz w:val="52"/>
          <w:szCs w:val="52"/>
        </w:rPr>
      </w:pPr>
      <w:r w:rsidRPr="00EA6B5E">
        <w:rPr>
          <w:rFonts w:ascii="黑体" w:eastAsia="黑体" w:hAnsi="黑体" w:cs="黑体" w:hint="eastAsia"/>
          <w:color w:val="333333"/>
          <w:kern w:val="0"/>
          <w:sz w:val="52"/>
          <w:szCs w:val="52"/>
        </w:rPr>
        <w:t>中国共产党本溪市溪湖区委政法委员会</w:t>
      </w:r>
      <w:r w:rsidR="00A0466D" w:rsidRPr="00EA6B5E">
        <w:rPr>
          <w:rFonts w:ascii="宋体" w:eastAsia="宋体" w:hAnsi="宋体" w:cs="宋体" w:hint="eastAsia"/>
          <w:b/>
          <w:bCs/>
          <w:color w:val="333333"/>
          <w:kern w:val="0"/>
          <w:sz w:val="52"/>
          <w:szCs w:val="52"/>
        </w:rPr>
        <w:t>2022</w:t>
      </w:r>
      <w:r w:rsidR="00A0466D" w:rsidRPr="00EA6B5E">
        <w:rPr>
          <w:rFonts w:ascii="宋体" w:eastAsia="宋体" w:hAnsi="宋体" w:cs="宋体" w:hint="eastAsia"/>
          <w:b/>
          <w:bCs/>
          <w:color w:val="333333"/>
          <w:kern w:val="0"/>
          <w:sz w:val="52"/>
          <w:szCs w:val="52"/>
        </w:rPr>
        <w:t>年部门预算</w:t>
      </w: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862C19">
      <w:pPr>
        <w:widowControl/>
        <w:shd w:val="clear" w:color="auto" w:fill="FFFFFF"/>
        <w:jc w:val="center"/>
        <w:rPr>
          <w:rFonts w:ascii="微软雅黑" w:eastAsia="微软雅黑" w:hAnsi="微软雅黑" w:cs="宋体"/>
          <w:color w:val="333333"/>
          <w:kern w:val="0"/>
          <w:sz w:val="24"/>
          <w:szCs w:val="24"/>
        </w:rPr>
      </w:pPr>
    </w:p>
    <w:p w:rsidR="00862C19" w:rsidRDefault="00A0466D">
      <w:pPr>
        <w:widowControl/>
        <w:shd w:val="clear" w:color="auto" w:fill="FFFFFF"/>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中国共产党本溪市溪湖区委政法委员会</w:t>
      </w:r>
    </w:p>
    <w:p w:rsidR="00862C19" w:rsidRDefault="00A0466D">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862C19" w:rsidRDefault="00A0466D">
      <w:pPr>
        <w:widowControl/>
        <w:shd w:val="clear" w:color="auto" w:fill="FFFFFF"/>
        <w:spacing w:line="560" w:lineRule="exact"/>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第二部分</w:t>
      </w:r>
      <w:r>
        <w:rPr>
          <w:rFonts w:ascii="黑体" w:eastAsia="黑体" w:hAnsi="黑体" w:cs="黑体" w:hint="eastAsia"/>
          <w:color w:val="333333"/>
          <w:kern w:val="0"/>
          <w:sz w:val="32"/>
          <w:szCs w:val="32"/>
        </w:rPr>
        <w:t xml:space="preserve"> </w:t>
      </w:r>
      <w:r>
        <w:rPr>
          <w:rFonts w:ascii="黑体" w:eastAsia="黑体" w:hAnsi="黑体" w:cs="黑体" w:hint="eastAsia"/>
          <w:color w:val="333333"/>
          <w:kern w:val="0"/>
          <w:sz w:val="32"/>
          <w:szCs w:val="32"/>
        </w:rPr>
        <w:t>中国共产党本溪市溪湖区委政法委员会本溪市溪湖区部门名称概况</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黑体" w:hint="eastAsia"/>
          <w:color w:val="333333"/>
          <w:kern w:val="0"/>
          <w:sz w:val="32"/>
          <w:szCs w:val="32"/>
        </w:rPr>
        <w:t>中国共产党本溪市溪湖区委政法委员会</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Pr>
          <w:rFonts w:ascii="黑体" w:eastAsia="黑体" w:hAnsi="黑体" w:cs="黑体" w:hint="eastAsia"/>
          <w:color w:val="333333"/>
          <w:kern w:val="0"/>
          <w:sz w:val="32"/>
          <w:szCs w:val="32"/>
        </w:rPr>
        <w:t>中国共产党本溪市溪湖区委政法委员</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年预算批复公开表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862C19" w:rsidRDefault="00A0466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862C19" w:rsidRDefault="00A0466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十三、项目绩效目标情况表</w:t>
      </w:r>
    </w:p>
    <w:p w:rsidR="00862C19" w:rsidRDefault="00A0466D">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862C19" w:rsidRDefault="00A0466D">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862C19" w:rsidRDefault="00A0466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862C19" w:rsidRDefault="00862C1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本财发〔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、本溪市财政局部门预决算信息公开管理办法（试行）</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（一）制定我局部门预决算信息公开的工作方案；</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862C19" w:rsidRDefault="00A0466D">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A0466D">
      <w:pPr>
        <w:spacing w:line="540" w:lineRule="exact"/>
        <w:jc w:val="center"/>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中国共产党本溪市溪湖区委政法委员会概况</w:t>
      </w:r>
    </w:p>
    <w:p w:rsidR="00862C19" w:rsidRDefault="00862C19">
      <w:pPr>
        <w:spacing w:line="540" w:lineRule="exact"/>
        <w:ind w:firstLineChars="200" w:firstLine="640"/>
        <w:jc w:val="left"/>
        <w:rPr>
          <w:rFonts w:ascii="黑体" w:eastAsia="黑体"/>
          <w:sz w:val="32"/>
          <w:szCs w:val="32"/>
        </w:rPr>
      </w:pPr>
    </w:p>
    <w:p w:rsidR="00862C19" w:rsidRDefault="00A0466D">
      <w:pPr>
        <w:numPr>
          <w:ilvl w:val="0"/>
          <w:numId w:val="1"/>
        </w:numPr>
        <w:spacing w:line="540" w:lineRule="exact"/>
        <w:jc w:val="left"/>
        <w:rPr>
          <w:rFonts w:ascii="黑体" w:eastAsia="黑体"/>
          <w:sz w:val="32"/>
          <w:szCs w:val="32"/>
        </w:rPr>
      </w:pPr>
      <w:r>
        <w:rPr>
          <w:rFonts w:ascii="黑体" w:eastAsia="黑体" w:hint="eastAsia"/>
          <w:sz w:val="32"/>
          <w:szCs w:val="32"/>
        </w:rPr>
        <w:t>主要职责</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深入贯彻习近平新时代中国特色社会主义思想，深入贯彻党的路线方针政策和决策部署，统一政法部门思想和行动，坚持党对政法工作的绝对领导，坚决维护党中央权威和集中统一领导。</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深入贯彻落实党中央对政法工作的全局性部署和省委、市委、区委对政法工作的部署要求，推进平安溪湖、法治溪湖建设，加强过硬队伍建设，深化智能化建设，坚决维护国家政治安全、确保社会大局稳定、促进社会公平正义、保撞人民安居乐业。</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指导推动政法系统党的建设和政法队伍建设，协助组织部门考察、管理政法部门领导班子和领导干部，开展法学会相关工作。</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了解掌握和分析</w:t>
      </w:r>
      <w:r>
        <w:rPr>
          <w:rFonts w:ascii="黑体" w:eastAsia="黑体" w:hint="eastAsia"/>
          <w:sz w:val="32"/>
          <w:szCs w:val="32"/>
        </w:rPr>
        <w:t>研判政法工作情况动态，分析社会稳定形势，创新完善多部门参与的综治维稳工作机制，协调推动预防、化解影响稳定的社会矛盾和风险，协调应对和处置重大突发事件。负责区委国家安全委员会办公室日常事务工作。</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加强对政法工作的督察，统筹协调社会治安综合治理、维护社会稳定、反邪教与有关法律法规政策的实施工作。</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掌握分析政法舆情动态，指导政法部门做好涉及政法工作的重大宣传工作。</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lastRenderedPageBreak/>
        <w:t>监督和支持政法各部门依法行使职权，研究和协调重大、疑难案件，推进严格执法、公正司法。</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研究政法改革中带有方向性、倾向性和普遍性的重大问题，贯彻中央、省</w:t>
      </w:r>
      <w:r>
        <w:rPr>
          <w:rFonts w:ascii="黑体" w:eastAsia="黑体" w:hint="eastAsia"/>
          <w:sz w:val="32"/>
          <w:szCs w:val="32"/>
        </w:rPr>
        <w:t>委、市委深化政法改革的决定和精神及省委、市委、区委具体要求。承担区司法体制改革领导小组和社会体制改革专项小组日常工作。</w:t>
      </w:r>
    </w:p>
    <w:p w:rsidR="00862C19" w:rsidRDefault="00A0466D">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完成区委和区委国家安全委员会交办的其他任务。</w:t>
      </w:r>
    </w:p>
    <w:p w:rsidR="00862C19" w:rsidRDefault="00862C19">
      <w:pPr>
        <w:spacing w:line="540" w:lineRule="exact"/>
        <w:ind w:left="1360"/>
        <w:jc w:val="left"/>
        <w:rPr>
          <w:rFonts w:ascii="黑体" w:eastAsia="黑体"/>
          <w:sz w:val="32"/>
          <w:szCs w:val="32"/>
        </w:rPr>
      </w:pPr>
    </w:p>
    <w:p w:rsidR="00862C19" w:rsidRDefault="00862C19">
      <w:pPr>
        <w:keepLines/>
        <w:widowControl/>
        <w:shd w:val="clear" w:color="auto" w:fill="FFFFFF"/>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A0466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中国共产党本溪市溪湖区委政法委员会部门名称概况</w:t>
      </w:r>
    </w:p>
    <w:p w:rsidR="00862C19" w:rsidRDefault="00862C19">
      <w:pPr>
        <w:keepLines/>
        <w:widowControl/>
        <w:shd w:val="clear" w:color="auto" w:fill="FFFFFF"/>
        <w:ind w:firstLine="645"/>
        <w:jc w:val="left"/>
        <w:rPr>
          <w:rFonts w:ascii="微软雅黑" w:eastAsia="微软雅黑" w:hAnsi="微软雅黑" w:cs="宋体"/>
          <w:color w:val="333333"/>
          <w:kern w:val="0"/>
          <w:sz w:val="24"/>
          <w:szCs w:val="24"/>
        </w:rPr>
      </w:pP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纳入本溪市溪湖区部门名称</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862C19" w:rsidRDefault="00A0466D">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宋体" w:eastAsia="宋体" w:hAnsi="宋体" w:cs="宋体" w:hint="eastAsia"/>
          <w:b/>
          <w:bCs/>
          <w:color w:val="333333"/>
          <w:kern w:val="0"/>
          <w:sz w:val="36"/>
          <w:szCs w:val="36"/>
        </w:rPr>
        <w:t>中国共产党本溪市溪湖区委政法委员会（本级）</w:t>
      </w:r>
    </w:p>
    <w:p w:rsidR="00862C19" w:rsidRDefault="00862C19">
      <w:pPr>
        <w:keepLines/>
        <w:widowControl/>
        <w:shd w:val="clear" w:color="auto" w:fill="FFFFFF"/>
        <w:ind w:firstLine="645"/>
        <w:jc w:val="left"/>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862C19">
      <w:pPr>
        <w:keepLines/>
        <w:widowControl/>
        <w:shd w:val="clear" w:color="auto" w:fill="FFFFFF"/>
        <w:jc w:val="center"/>
        <w:rPr>
          <w:rFonts w:ascii="微软雅黑" w:eastAsia="微软雅黑" w:hAnsi="微软雅黑" w:cs="宋体"/>
          <w:color w:val="333333"/>
          <w:kern w:val="0"/>
          <w:sz w:val="24"/>
          <w:szCs w:val="24"/>
        </w:rPr>
      </w:pPr>
    </w:p>
    <w:p w:rsidR="00862C19" w:rsidRDefault="00A0466D">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第三部分中国共产党本溪市溪湖区委政法委员会</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862C19" w:rsidRDefault="00862C19">
      <w:pPr>
        <w:keepLines/>
        <w:widowControl/>
        <w:shd w:val="clear" w:color="auto" w:fill="FFFFFF"/>
        <w:jc w:val="left"/>
        <w:rPr>
          <w:rFonts w:ascii="微软雅黑" w:eastAsia="微软雅黑" w:hAnsi="微软雅黑" w:cs="宋体"/>
          <w:color w:val="333333"/>
          <w:kern w:val="0"/>
          <w:sz w:val="24"/>
          <w:szCs w:val="24"/>
        </w:rPr>
      </w:pPr>
    </w:p>
    <w:p w:rsidR="00862C19" w:rsidRDefault="00A0466D">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 w:eastAsia="仿宋" w:hAnsi="仿宋" w:cs="仿宋" w:hint="eastAsia"/>
          <w:color w:val="333333"/>
          <w:kern w:val="0"/>
          <w:sz w:val="32"/>
          <w:szCs w:val="32"/>
        </w:rPr>
        <w:t>按照综合预算的原则，中国共产党本溪市溪湖区委政法委员会所有收入和支出均纳入部门预算管理。其中</w:t>
      </w:r>
      <w:r>
        <w:rPr>
          <w:rFonts w:ascii="仿宋_GB2312" w:eastAsia="仿宋_GB2312" w:hAnsi="微软雅黑" w:cs="宋体" w:hint="eastAsia"/>
          <w:color w:val="333333"/>
          <w:kern w:val="0"/>
          <w:sz w:val="32"/>
          <w:szCs w:val="32"/>
        </w:rPr>
        <w:t>：</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125.41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115.78</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9.63</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（二）支出预算</w:t>
      </w:r>
      <w:r w:rsidR="006853A0">
        <w:rPr>
          <w:rFonts w:ascii="仿宋_GB2312" w:eastAsia="仿宋_GB2312" w:hAnsi="微软雅黑" w:cs="宋体" w:hint="eastAsia"/>
          <w:b/>
          <w:bCs/>
          <w:color w:val="333333"/>
          <w:kern w:val="0"/>
          <w:sz w:val="32"/>
          <w:szCs w:val="32"/>
        </w:rPr>
        <w:t>115.78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89.98</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bookmarkStart w:id="0" w:name="_GoBack"/>
      <w:bookmarkEnd w:id="0"/>
      <w:r w:rsidR="00EA6B5E">
        <w:rPr>
          <w:rFonts w:ascii="仿宋_GB2312" w:eastAsia="仿宋_GB2312" w:hAnsi="微软雅黑" w:cs="宋体" w:hint="eastAsia"/>
          <w:color w:val="333333"/>
          <w:kern w:val="0"/>
          <w:sz w:val="32"/>
          <w:szCs w:val="32"/>
        </w:rPr>
        <w:t>25.8</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sidR="00AF14B5">
        <w:rPr>
          <w:rFonts w:ascii="仿宋_GB2312" w:eastAsia="仿宋_GB2312" w:hAnsi="微软雅黑" w:cs="宋体" w:hint="eastAsia"/>
          <w:color w:val="333333"/>
          <w:kern w:val="0"/>
          <w:sz w:val="32"/>
          <w:szCs w:val="32"/>
        </w:rPr>
        <w:t>5.39</w:t>
      </w:r>
      <w:r>
        <w:rPr>
          <w:rFonts w:ascii="仿宋_GB2312" w:eastAsia="仿宋_GB2312" w:hAnsi="微软雅黑" w:cs="宋体" w:hint="eastAsia"/>
          <w:color w:val="333333"/>
          <w:kern w:val="0"/>
          <w:sz w:val="32"/>
          <w:szCs w:val="32"/>
        </w:rPr>
        <w:t>万元，增减变化的主要原因为</w:t>
      </w:r>
      <w:r w:rsidR="00AF14B5">
        <w:rPr>
          <w:rFonts w:ascii="仿宋_GB2312" w:eastAsia="仿宋_GB2312" w:hAnsi="微软雅黑" w:cs="宋体" w:hint="eastAsia"/>
          <w:color w:val="333333"/>
          <w:kern w:val="0"/>
          <w:sz w:val="32"/>
          <w:szCs w:val="32"/>
        </w:rPr>
        <w:t>有退休人员。</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年本溪市溪湖区部门名称机关运行经费预算为</w:t>
      </w:r>
      <w:r w:rsidR="00AF14B5">
        <w:rPr>
          <w:rFonts w:ascii="仿宋_GB2312" w:eastAsia="仿宋_GB2312" w:hAnsi="微软雅黑" w:cs="宋体" w:hint="eastAsia"/>
          <w:color w:val="333333"/>
          <w:kern w:val="0"/>
          <w:sz w:val="32"/>
          <w:szCs w:val="32"/>
        </w:rPr>
        <w:t>69.72</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sidR="00AF14B5">
        <w:rPr>
          <w:rFonts w:ascii="仿宋_GB2312" w:eastAsia="仿宋_GB2312" w:hAnsi="微软雅黑" w:cs="宋体" w:hint="eastAsia"/>
          <w:color w:val="333333"/>
          <w:kern w:val="0"/>
          <w:sz w:val="32"/>
          <w:szCs w:val="32"/>
        </w:rPr>
        <w:t>26.59万元，主要原因是项目支出减少</w:t>
      </w:r>
      <w:r>
        <w:rPr>
          <w:rFonts w:ascii="仿宋_GB2312" w:eastAsia="仿宋_GB2312" w:hAnsi="微软雅黑" w:cs="宋体" w:hint="eastAsia"/>
          <w:color w:val="333333"/>
          <w:kern w:val="0"/>
          <w:sz w:val="32"/>
          <w:szCs w:val="32"/>
        </w:rPr>
        <w:t>。</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年本溪市溪湖区部门名称安排政府采购预算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862C19" w:rsidRDefault="00A0466D">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年，本溪市溪湖区部门名称一般公共预算安排“三公”经费预算为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sidR="007146CE">
        <w:rPr>
          <w:rFonts w:ascii="仿宋_GB2312" w:eastAsia="仿宋_GB2312" w:hAnsi="微软雅黑" w:cs="宋体" w:hint="eastAsia"/>
          <w:color w:val="333333"/>
          <w:kern w:val="0"/>
          <w:sz w:val="32"/>
          <w:szCs w:val="32"/>
        </w:rPr>
        <w:t>0.08</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。其中：</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sidR="00750E5F">
        <w:rPr>
          <w:rFonts w:ascii="仿宋_GB2312" w:eastAsia="仿宋_GB2312" w:hAnsi="微软雅黑" w:cs="宋体" w:hint="eastAsia"/>
          <w:color w:val="333333"/>
          <w:kern w:val="0"/>
          <w:sz w:val="32"/>
          <w:szCs w:val="32"/>
        </w:rPr>
        <w:t>.08</w:t>
      </w:r>
      <w:r w:rsidR="00FE5FDB">
        <w:rPr>
          <w:rFonts w:ascii="仿宋_GB2312" w:eastAsia="仿宋_GB2312" w:hAnsi="微软雅黑" w:cs="宋体" w:hint="eastAsia"/>
          <w:color w:val="333333"/>
          <w:kern w:val="0"/>
          <w:sz w:val="32"/>
          <w:szCs w:val="32"/>
        </w:rPr>
        <w:t>万元，主要原因是压缩</w:t>
      </w:r>
      <w:r w:rsidR="00644B93">
        <w:rPr>
          <w:rFonts w:ascii="仿宋_GB2312" w:eastAsia="仿宋_GB2312" w:hAnsi="微软雅黑" w:cs="宋体" w:hint="eastAsia"/>
          <w:color w:val="333333"/>
          <w:kern w:val="0"/>
          <w:sz w:val="32"/>
          <w:szCs w:val="32"/>
        </w:rPr>
        <w:t>“三公”</w:t>
      </w:r>
      <w:r w:rsidR="00FE5FDB">
        <w:rPr>
          <w:rFonts w:ascii="仿宋_GB2312" w:eastAsia="仿宋_GB2312" w:hAnsi="微软雅黑" w:cs="宋体" w:hint="eastAsia"/>
          <w:color w:val="333333"/>
          <w:kern w:val="0"/>
          <w:sz w:val="32"/>
          <w:szCs w:val="32"/>
        </w:rPr>
        <w:t>经费支出</w:t>
      </w:r>
      <w:r>
        <w:rPr>
          <w:rFonts w:ascii="仿宋_GB2312" w:eastAsia="仿宋_GB2312" w:hAnsi="微软雅黑" w:cs="宋体" w:hint="eastAsia"/>
          <w:color w:val="333333"/>
          <w:kern w:val="0"/>
          <w:sz w:val="32"/>
          <w:szCs w:val="32"/>
        </w:rPr>
        <w:t>。</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万元，主要原因是……。</w:t>
      </w:r>
    </w:p>
    <w:p w:rsidR="00862C19" w:rsidRDefault="00A0466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年本溪市溪湖区部门名称“三公”经费预算表</w:t>
      </w:r>
    </w:p>
    <w:p w:rsidR="00862C19" w:rsidRDefault="00A0466D">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862C1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C19" w:rsidRDefault="00A0466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862C19" w:rsidRDefault="00A0466D">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862C1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862C19" w:rsidRDefault="00862C19">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62C19" w:rsidRDefault="00A0466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862C19" w:rsidRDefault="00A0466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862C19">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862C19" w:rsidRDefault="00A0466D">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862C19" w:rsidRDefault="007A0185">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862C1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A0466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862C1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A0466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r w:rsidR="00596A5C">
              <w:rPr>
                <w:rFonts w:ascii="宋体" w:eastAsia="宋体" w:hAnsi="宋体" w:cs="宋体" w:hint="eastAsia"/>
                <w:kern w:val="0"/>
                <w:sz w:val="24"/>
                <w:szCs w:val="24"/>
              </w:rPr>
              <w:t>.08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62C19" w:rsidRDefault="007A0185">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862C1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A0466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862C1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A0466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862C1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A0466D">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862C19" w:rsidRDefault="007A0185">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862C19" w:rsidRDefault="007A0185">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bl>
    <w:p w:rsidR="00862C19" w:rsidRDefault="00862C19">
      <w:pPr>
        <w:keepLines/>
        <w:widowControl/>
        <w:shd w:val="clear" w:color="auto" w:fill="FFFFFF"/>
        <w:jc w:val="left"/>
        <w:rPr>
          <w:rFonts w:ascii="微软雅黑" w:eastAsia="微软雅黑" w:hAnsi="微软雅黑" w:cs="宋体"/>
          <w:color w:val="333333"/>
          <w:kern w:val="0"/>
          <w:sz w:val="24"/>
          <w:szCs w:val="24"/>
        </w:rPr>
      </w:pP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862C19" w:rsidRDefault="00A0466D">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根据预算绩效管理要求，本溪市溪湖区部门名称</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Pr>
        <w:keepLines/>
      </w:pPr>
    </w:p>
    <w:p w:rsidR="00862C19" w:rsidRDefault="00862C19"/>
    <w:p w:rsidR="00862C19" w:rsidRDefault="00A0466D">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862C19" w:rsidRDefault="00862C19">
      <w:pPr>
        <w:jc w:val="center"/>
        <w:rPr>
          <w:rFonts w:ascii="黑体" w:eastAsia="黑体"/>
          <w:sz w:val="36"/>
          <w:szCs w:val="36"/>
        </w:rPr>
      </w:pP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862C19" w:rsidRDefault="00A0466D">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862C19" w:rsidRDefault="00A0466D">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62C19" w:rsidRDefault="00A0466D">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862C19" w:rsidRDefault="00A0466D">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lastRenderedPageBreak/>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w:t>
      </w:r>
      <w:r>
        <w:rPr>
          <w:rFonts w:ascii="仿宋_GB2312" w:eastAsia="仿宋_GB2312" w:hint="eastAsia"/>
          <w:sz w:val="32"/>
          <w:szCs w:val="32"/>
        </w:rPr>
        <w:t>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w:t>
      </w:r>
      <w:r>
        <w:rPr>
          <w:rFonts w:ascii="仿宋_GB2312" w:eastAsia="仿宋_GB2312" w:hint="eastAsia"/>
          <w:sz w:val="32"/>
          <w:szCs w:val="32"/>
        </w:rPr>
        <w:t>包括行政单位（包括实行公务员管理的事业单位）后勤服务中心、医务室等附属事业单位。</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w:t>
      </w:r>
      <w:r>
        <w:rPr>
          <w:rFonts w:ascii="仿宋_GB2312" w:eastAsia="仿宋_GB2312" w:hint="eastAsia"/>
          <w:b/>
          <w:sz w:val="32"/>
          <w:szCs w:val="32"/>
        </w:rPr>
        <w:lastRenderedPageBreak/>
        <w:t>归口管理的行政单位离退休（项）：</w:t>
      </w:r>
      <w:r>
        <w:rPr>
          <w:rFonts w:ascii="仿宋_GB2312" w:eastAsia="仿宋_GB2312" w:hint="eastAsia"/>
          <w:sz w:val="32"/>
          <w:szCs w:val="32"/>
        </w:rPr>
        <w:t>反映实行归口管理的行政单位（包括实行公务员管理的事业单位）开支的离退休经费。</w:t>
      </w:r>
    </w:p>
    <w:p w:rsidR="00862C19" w:rsidRDefault="00A0466D">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862C19" w:rsidRDefault="00A0466D">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w:t>
      </w:r>
      <w:r>
        <w:rPr>
          <w:rFonts w:ascii="仿宋_GB2312" w:eastAsia="仿宋_GB2312" w:hint="eastAsia"/>
          <w:b/>
          <w:sz w:val="32"/>
          <w:szCs w:val="32"/>
        </w:rPr>
        <w:t>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862C19" w:rsidSect="00862C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B73F4"/>
    <w:multiLevelType w:val="multilevel"/>
    <w:tmpl w:val="536B73F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54FC31D"/>
    <w:multiLevelType w:val="singleLevel"/>
    <w:tmpl w:val="554FC3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177A6F"/>
    <w:rsid w:val="00027A7A"/>
    <w:rsid w:val="00031F9C"/>
    <w:rsid w:val="000C2DDF"/>
    <w:rsid w:val="000C7A51"/>
    <w:rsid w:val="000E2FAB"/>
    <w:rsid w:val="00145219"/>
    <w:rsid w:val="001770E9"/>
    <w:rsid w:val="00177A6F"/>
    <w:rsid w:val="00186914"/>
    <w:rsid w:val="0018703D"/>
    <w:rsid w:val="0020016A"/>
    <w:rsid w:val="00247655"/>
    <w:rsid w:val="003564C0"/>
    <w:rsid w:val="003B3C2A"/>
    <w:rsid w:val="004345B9"/>
    <w:rsid w:val="0046097E"/>
    <w:rsid w:val="00467FB6"/>
    <w:rsid w:val="00596A5C"/>
    <w:rsid w:val="00644B93"/>
    <w:rsid w:val="006853A0"/>
    <w:rsid w:val="00686DA1"/>
    <w:rsid w:val="007146CE"/>
    <w:rsid w:val="00750E5F"/>
    <w:rsid w:val="00783DFC"/>
    <w:rsid w:val="007A0185"/>
    <w:rsid w:val="007F4D5A"/>
    <w:rsid w:val="00857247"/>
    <w:rsid w:val="00862C19"/>
    <w:rsid w:val="008D7A97"/>
    <w:rsid w:val="008E40D4"/>
    <w:rsid w:val="00987436"/>
    <w:rsid w:val="00994433"/>
    <w:rsid w:val="009F5B1B"/>
    <w:rsid w:val="009F6AA6"/>
    <w:rsid w:val="00A0466D"/>
    <w:rsid w:val="00AB2319"/>
    <w:rsid w:val="00AF14B5"/>
    <w:rsid w:val="00B218D5"/>
    <w:rsid w:val="00CC2702"/>
    <w:rsid w:val="00CE0E27"/>
    <w:rsid w:val="00DB1160"/>
    <w:rsid w:val="00DF6955"/>
    <w:rsid w:val="00EA6B5E"/>
    <w:rsid w:val="00EB7C51"/>
    <w:rsid w:val="00F27900"/>
    <w:rsid w:val="00FE5FDB"/>
    <w:rsid w:val="00FF6010"/>
    <w:rsid w:val="10025EBB"/>
    <w:rsid w:val="12862EC4"/>
    <w:rsid w:val="21C76170"/>
    <w:rsid w:val="23011FA9"/>
    <w:rsid w:val="3A4514D5"/>
    <w:rsid w:val="436E08DD"/>
    <w:rsid w:val="454E244B"/>
    <w:rsid w:val="4565382B"/>
    <w:rsid w:val="46E437E1"/>
    <w:rsid w:val="5A464901"/>
    <w:rsid w:val="7BE42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1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62C19"/>
    <w:pPr>
      <w:tabs>
        <w:tab w:val="center" w:pos="4153"/>
        <w:tab w:val="right" w:pos="8306"/>
      </w:tabs>
      <w:snapToGrid w:val="0"/>
      <w:jc w:val="left"/>
    </w:pPr>
    <w:rPr>
      <w:sz w:val="18"/>
      <w:szCs w:val="18"/>
    </w:rPr>
  </w:style>
  <w:style w:type="paragraph" w:styleId="a4">
    <w:name w:val="header"/>
    <w:basedOn w:val="a"/>
    <w:link w:val="Char0"/>
    <w:uiPriority w:val="99"/>
    <w:unhideWhenUsed/>
    <w:rsid w:val="00862C1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62C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62C19"/>
    <w:rPr>
      <w:b/>
      <w:bCs/>
    </w:rPr>
  </w:style>
  <w:style w:type="paragraph" w:styleId="a7">
    <w:name w:val="List Paragraph"/>
    <w:basedOn w:val="a"/>
    <w:uiPriority w:val="34"/>
    <w:qFormat/>
    <w:rsid w:val="00862C19"/>
    <w:pPr>
      <w:ind w:firstLineChars="200" w:firstLine="420"/>
    </w:pPr>
  </w:style>
  <w:style w:type="character" w:customStyle="1" w:styleId="Char0">
    <w:name w:val="页眉 Char"/>
    <w:basedOn w:val="a0"/>
    <w:link w:val="a4"/>
    <w:uiPriority w:val="99"/>
    <w:rsid w:val="00862C19"/>
    <w:rPr>
      <w:sz w:val="18"/>
      <w:szCs w:val="18"/>
    </w:rPr>
  </w:style>
  <w:style w:type="character" w:customStyle="1" w:styleId="Char">
    <w:name w:val="页脚 Char"/>
    <w:basedOn w:val="a0"/>
    <w:link w:val="a3"/>
    <w:uiPriority w:val="99"/>
    <w:rsid w:val="00862C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603</Words>
  <Characters>3441</Characters>
  <Application>Microsoft Office Word</Application>
  <DocSecurity>0</DocSecurity>
  <Lines>28</Lines>
  <Paragraphs>8</Paragraphs>
  <ScaleCrop>false</ScaleCrop>
  <Company>china</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2021-06-10T06:12:00Z</dcterms:created>
  <dcterms:modified xsi:type="dcterms:W3CDTF">2022-01-14T07:30:00Z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13E16449DA0A472196D1428379372213</vt:lpwstr>
  </property>
</Properties>
</file>