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退役军人事务局</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退役军人事务局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退役军人事务局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退役军人事务局</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w:t>
      </w:r>
      <w:r>
        <w:rPr>
          <w:rFonts w:hint="eastAsia" w:ascii="黑体" w:hAnsi="黑体" w:eastAsia="黑体" w:cs="宋体"/>
          <w:color w:val="333333"/>
          <w:kern w:val="0"/>
          <w:sz w:val="32"/>
          <w:szCs w:val="32"/>
          <w:lang w:eastAsia="zh-CN"/>
        </w:rPr>
        <w:t>退役军人事务局</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黑体" w:hAnsi="黑体" w:eastAsia="黑体" w:cs="宋体"/>
          <w:color w:val="333333"/>
          <w:kern w:val="0"/>
          <w:sz w:val="32"/>
          <w:szCs w:val="32"/>
          <w:lang w:eastAsia="zh-CN"/>
        </w:rPr>
        <w:t>退役军人事务局</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溪湖区退役军人事务局为涉密单位，相关不予公开。</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纳入本溪市溪湖区部门名称2022年部门预算编制范围的二级预算单位包括：</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本溪市溪湖区退役军人事务局</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退役军人事务局</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退役军人事务局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420.71</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331.89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w:t>
      </w:r>
      <w:r>
        <w:rPr>
          <w:rFonts w:hint="eastAsia" w:ascii="仿宋_GB2312" w:hAnsi="微软雅黑" w:eastAsia="仿宋_GB2312" w:cs="宋体"/>
          <w:color w:val="333333"/>
          <w:kern w:val="0"/>
          <w:sz w:val="32"/>
          <w:szCs w:val="32"/>
          <w:lang w:val="en-US" w:eastAsia="zh-CN"/>
        </w:rPr>
        <w:t>8.5</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7.上年结转结余80.32万元。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420.71</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47.05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373.66</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224.54</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2022年本溪市溪湖区部门名称机关运行经费预算为</w:t>
      </w:r>
      <w:r>
        <w:rPr>
          <w:rFonts w:hint="eastAsia" w:ascii="仿宋_GB2312" w:hAnsi="微软雅黑" w:eastAsia="仿宋_GB2312" w:cs="宋体"/>
          <w:color w:val="333333"/>
          <w:kern w:val="0"/>
          <w:sz w:val="32"/>
          <w:szCs w:val="32"/>
          <w:lang w:val="en-US" w:eastAsia="zh-CN"/>
        </w:rPr>
        <w:t>4.25</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0</w:t>
      </w:r>
      <w:r>
        <w:rPr>
          <w:rFonts w:hint="eastAsia" w:ascii="仿宋_GB2312" w:hAnsi="微软雅黑" w:eastAsia="仿宋_GB2312" w:cs="宋体"/>
          <w:color w:val="333333"/>
          <w:kern w:val="0"/>
          <w:sz w:val="32"/>
          <w:szCs w:val="32"/>
          <w:lang w:val="en-US" w:eastAsia="zh-CN"/>
        </w:rPr>
        <w:t>.05</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w:t>
      </w:r>
      <w:r>
        <w:rPr>
          <w:rFonts w:hint="eastAsia" w:ascii="仿宋_GB2312" w:hAnsi="微软雅黑" w:eastAsia="仿宋_GB2312" w:cs="宋体"/>
          <w:color w:val="333333"/>
          <w:kern w:val="0"/>
          <w:sz w:val="32"/>
          <w:szCs w:val="32"/>
          <w:lang w:val="en-US" w:eastAsia="zh-CN"/>
        </w:rPr>
        <w:t>.04</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w:t>
      </w:r>
      <w:bookmarkStart w:id="1" w:name="_GoBack"/>
      <w:bookmarkEnd w:id="1"/>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0.04</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0.04</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根据预算绩效管理要求，本溪市溪湖区部门名称2022年应编制绩效目标的项目共</w:t>
      </w:r>
      <w:r>
        <w:rPr>
          <w:rFonts w:hint="eastAsia" w:ascii="仿宋_GB2312" w:hAnsi="微软雅黑" w:eastAsia="仿宋_GB2312" w:cs="宋体"/>
          <w:color w:val="333333"/>
          <w:kern w:val="0"/>
          <w:sz w:val="32"/>
          <w:szCs w:val="32"/>
          <w:lang w:val="en-US" w:eastAsia="zh-CN"/>
        </w:rPr>
        <w:t>14</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14</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337.66</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29D4683D"/>
    <w:rsid w:val="6B943CAD"/>
    <w:rsid w:val="724D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6</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2021-12-28T01:23:54Z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90DEEE60E28D43659A6C86BD22B9D130</vt:lpwstr>
  </property>
</Properties>
</file>