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组织部</w:t>
      </w:r>
      <w:r>
        <w:rPr>
          <w:rFonts w:hint="eastAsia" w:ascii="宋体" w:hAnsi="宋体" w:eastAsia="宋体" w:cs="宋体"/>
          <w:b/>
          <w:bCs/>
          <w:color w:val="333333"/>
          <w:kern w:val="0"/>
          <w:sz w:val="53"/>
          <w:szCs w:val="53"/>
        </w:rPr>
        <w:t>2022年部门</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组织部</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hint="eastAsia" w:ascii="黑体" w:hAnsi="黑体" w:eastAsia="黑体" w:cs="宋体"/>
          <w:color w:val="333333"/>
          <w:kern w:val="0"/>
          <w:sz w:val="32"/>
          <w:szCs w:val="32"/>
        </w:rPr>
      </w:pP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组织部</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组织部</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w:t>
      </w:r>
      <w:bookmarkStart w:id="1" w:name="_GoBack"/>
      <w:bookmarkEnd w:id="1"/>
      <w:r>
        <w:rPr>
          <w:rFonts w:hint="eastAsia" w:ascii="仿宋_GB2312" w:hAnsi="微软雅黑" w:eastAsia="仿宋_GB2312" w:cs="宋体"/>
          <w:color w:val="333333"/>
          <w:kern w:val="0"/>
          <w:sz w:val="32"/>
          <w:szCs w:val="32"/>
        </w:rPr>
        <w:t>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组织部</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eastAsia="zh-CN"/>
        </w:rPr>
        <w:t>（涉密）</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组织部</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本溪市溪湖区组织部本级</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组织部</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组织部</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（一）收入预算628.39万元，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1.财政拨款收入620.99万元；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（二）支出预算628.39万元，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1.基本支出256.12万元；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2.项目支出372.27万元；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150.65</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项目减少</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组织部</w:t>
      </w:r>
      <w:r>
        <w:rPr>
          <w:rFonts w:hint="eastAsia" w:ascii="仿宋_GB2312" w:hAnsi="微软雅黑" w:eastAsia="仿宋_GB2312" w:cs="宋体"/>
          <w:color w:val="333333"/>
          <w:kern w:val="0"/>
          <w:sz w:val="32"/>
          <w:szCs w:val="32"/>
        </w:rPr>
        <w:t>机关运行经费预算为26.14万元，主要包括办公及印刷费、邮电费、差旅费、会议费、福利费、日常维修费、专用材料及一般设备购置费、办公用房水电费、办公用房取暖费、办公用房物业管理费、公务用车运行维护费以及其他费用。2022年预算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1.59</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人员增加、相关公用经费增加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组织部</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val="en-US" w:eastAsia="zh-CN"/>
        </w:rPr>
        <w:t>组织部</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0.18</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因公出国（境）费0万元</w:t>
      </w:r>
      <w:r>
        <w:rPr>
          <w:rFonts w:hint="eastAsia" w:ascii="仿宋_GB2312" w:hAnsi="微软雅黑" w:eastAsia="仿宋_GB2312" w:cs="宋体"/>
          <w:color w:val="333333"/>
          <w:kern w:val="0"/>
          <w:sz w:val="32"/>
          <w:szCs w:val="32"/>
          <w:lang w:val="en-US" w:eastAsia="zh-CN"/>
        </w:rPr>
        <w:t>.</w:t>
      </w:r>
    </w:p>
    <w:p>
      <w:pPr>
        <w:keepLines/>
        <w:widowControl/>
        <w:numPr>
          <w:ilvl w:val="0"/>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0.18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压减开资</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3.公务用车购置及运行费2.1万元，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2021年持平。</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val="en-US" w:eastAsia="zh-CN"/>
        </w:rPr>
        <w:t>组织部</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fixed"/>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2.28</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0.18</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tabs>
                <w:tab w:val="left" w:pos="567"/>
              </w:tabs>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val="en-US" w:eastAsia="zh-CN"/>
        </w:rPr>
        <w:t>组织部</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组织部</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D6122"/>
    <w:multiLevelType w:val="singleLevel"/>
    <w:tmpl w:val="61CD61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2107FE2"/>
    <w:rsid w:val="2BB85ED2"/>
    <w:rsid w:val="2BC358E8"/>
    <w:rsid w:val="32117C6D"/>
    <w:rsid w:val="478E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2</TotalTime>
  <ScaleCrop>false</ScaleCrop>
  <LinksUpToDate>false</LinksUpToDate>
  <CharactersWithSpaces>3263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2021-12-31T01:32:33Z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