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jc w:val="center"/>
        <w:rPr>
          <w:rFonts w:ascii="宋体" w:hAnsi="宋体" w:eastAsia="宋体" w:cs="宋体"/>
          <w:b/>
          <w:bCs/>
          <w:color w:val="333333"/>
          <w:kern w:val="0"/>
          <w:sz w:val="53"/>
          <w:szCs w:val="53"/>
        </w:rPr>
      </w:pPr>
    </w:p>
    <w:p>
      <w:pPr>
        <w:widowControl/>
        <w:shd w:val="clear" w:color="auto" w:fill="FFFFFF"/>
        <w:jc w:val="center"/>
        <w:rPr>
          <w:rFonts w:ascii="宋体" w:hAnsi="宋体" w:eastAsia="宋体" w:cs="宋体"/>
          <w:b/>
          <w:bCs/>
          <w:color w:val="333333"/>
          <w:kern w:val="0"/>
          <w:sz w:val="53"/>
          <w:szCs w:val="53"/>
        </w:rPr>
      </w:pPr>
    </w:p>
    <w:p>
      <w:pPr>
        <w:widowControl/>
        <w:shd w:val="clear" w:color="auto" w:fill="FFFFFF"/>
        <w:jc w:val="center"/>
        <w:rPr>
          <w:rFonts w:ascii="宋体" w:hAnsi="宋体" w:eastAsia="宋体" w:cs="宋体"/>
          <w:b/>
          <w:bCs/>
          <w:color w:val="333333"/>
          <w:kern w:val="0"/>
          <w:sz w:val="53"/>
          <w:szCs w:val="53"/>
        </w:rPr>
      </w:pPr>
    </w:p>
    <w:p>
      <w:pPr>
        <w:widowControl/>
        <w:shd w:val="clear" w:color="auto" w:fill="FFFFFF"/>
        <w:jc w:val="center"/>
        <w:rPr>
          <w:rFonts w:ascii="宋体" w:hAnsi="宋体" w:eastAsia="宋体" w:cs="宋体"/>
          <w:b/>
          <w:bCs/>
          <w:color w:val="333333"/>
          <w:kern w:val="0"/>
          <w:sz w:val="53"/>
          <w:szCs w:val="53"/>
        </w:rPr>
      </w:pPr>
    </w:p>
    <w:p>
      <w:pPr>
        <w:widowControl/>
        <w:shd w:val="clear" w:color="auto" w:fill="FFFFFF"/>
        <w:jc w:val="center"/>
        <w:rPr>
          <w:rFonts w:ascii="宋体" w:hAnsi="宋体" w:eastAsia="宋体" w:cs="宋体"/>
          <w:b/>
          <w:bCs/>
          <w:color w:val="333333"/>
          <w:kern w:val="0"/>
          <w:sz w:val="53"/>
          <w:szCs w:val="53"/>
        </w:rPr>
      </w:pPr>
    </w:p>
    <w:p>
      <w:pPr>
        <w:widowControl/>
        <w:shd w:val="clear" w:color="auto" w:fill="FFFFFF"/>
        <w:jc w:val="center"/>
        <w:rPr>
          <w:rFonts w:ascii="微软雅黑" w:hAnsi="微软雅黑" w:eastAsia="微软雅黑" w:cs="宋体"/>
          <w:color w:val="333333"/>
          <w:kern w:val="0"/>
          <w:sz w:val="24"/>
          <w:szCs w:val="24"/>
        </w:rPr>
      </w:pPr>
      <w:r>
        <w:rPr>
          <w:rFonts w:hint="eastAsia" w:ascii="宋体" w:hAnsi="宋体" w:eastAsia="宋体" w:cs="宋体"/>
          <w:b/>
          <w:bCs/>
          <w:color w:val="333333"/>
          <w:kern w:val="0"/>
          <w:sz w:val="53"/>
          <w:szCs w:val="53"/>
        </w:rPr>
        <w:t>本溪市溪湖区人民政府河东街道办事处2022年部门预算</w:t>
      </w: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r>
        <w:rPr>
          <w:rFonts w:hint="eastAsia" w:ascii="宋体" w:hAnsi="宋体" w:eastAsia="宋体" w:cs="宋体"/>
          <w:b/>
          <w:bCs/>
          <w:color w:val="333333"/>
          <w:kern w:val="0"/>
          <w:sz w:val="44"/>
          <w:szCs w:val="44"/>
        </w:rPr>
        <w:t>本溪市溪湖区人民政府河东街道办事处</w:t>
      </w:r>
    </w:p>
    <w:p>
      <w:pPr>
        <w:widowControl/>
        <w:shd w:val="clear" w:color="auto" w:fill="FFFFFF"/>
        <w:jc w:val="center"/>
        <w:rPr>
          <w:rFonts w:ascii="微软雅黑" w:hAnsi="微软雅黑" w:eastAsia="微软雅黑" w:cs="宋体"/>
          <w:color w:val="333333"/>
          <w:kern w:val="0"/>
          <w:sz w:val="24"/>
          <w:szCs w:val="24"/>
        </w:rPr>
      </w:pPr>
      <w:r>
        <w:rPr>
          <w:rFonts w:hint="eastAsia" w:ascii="宋体" w:hAnsi="宋体" w:eastAsia="宋体" w:cs="宋体"/>
          <w:b/>
          <w:bCs/>
          <w:color w:val="333333"/>
          <w:kern w:val="0"/>
          <w:sz w:val="44"/>
          <w:szCs w:val="44"/>
        </w:rPr>
        <w:t>目录</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第一部分 部门预算公开管理文件</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第二部分 本溪市溪湖区人民政府河东街道办事处概况</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一、主要职责</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二、机构设置</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第三部分 本溪市溪湖区人民政府河东街道办事处2022年部门预算情况说明</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第四部分 名词解释</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第五部分 2022年本溪市溪湖区人民政府河东街道办事处预算批复公开表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一、财政拨款收支预算总表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二、一般公共预算支出表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三、一般公共预算基本支出表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四、一般公共预算“三公”经费支出表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五、政府性基金预算支出表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六、部门收支预算总表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七、部门收入预算总表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八、部门支出预算总表（一）</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九、部门支出预算总表（二）</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十、项目支出明细表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十一、政府采购计划表</w:t>
      </w:r>
    </w:p>
    <w:p>
      <w:pPr>
        <w:widowControl/>
        <w:shd w:val="clear" w:color="auto" w:fill="FFFFFF"/>
        <w:spacing w:line="560" w:lineRule="exact"/>
        <w:jc w:val="left"/>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十二、三公经费汇总表</w:t>
      </w:r>
    </w:p>
    <w:p>
      <w:pPr>
        <w:widowControl/>
        <w:shd w:val="clear" w:color="auto" w:fill="FFFFFF"/>
        <w:spacing w:line="560" w:lineRule="exact"/>
        <w:jc w:val="left"/>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十三、项目绩效目标情况表</w:t>
      </w:r>
    </w:p>
    <w:p>
      <w:pPr>
        <w:widowControl/>
        <w:shd w:val="clear" w:color="auto" w:fill="FFFFFF"/>
        <w:spacing w:line="560" w:lineRule="exact"/>
        <w:jc w:val="left"/>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十四、政府预算经济分类支出预算表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十五、部门整体绩效目标情况表</w:t>
      </w:r>
    </w:p>
    <w:p>
      <w:pPr>
        <w:keepLines/>
        <w:widowControl/>
        <w:shd w:val="clear" w:color="auto" w:fill="FFFFFF"/>
        <w:jc w:val="center"/>
        <w:rPr>
          <w:rFonts w:ascii="微软雅黑" w:hAnsi="微软雅黑" w:eastAsia="微软雅黑" w:cs="宋体"/>
          <w:color w:val="333333"/>
          <w:kern w:val="0"/>
          <w:sz w:val="24"/>
          <w:szCs w:val="24"/>
        </w:rPr>
      </w:pPr>
      <w:r>
        <w:rPr>
          <w:rFonts w:hint="eastAsia" w:ascii="宋体" w:hAnsi="宋体" w:eastAsia="宋体" w:cs="宋体"/>
          <w:b/>
          <w:bCs/>
          <w:color w:val="333333"/>
          <w:kern w:val="0"/>
          <w:sz w:val="36"/>
          <w:szCs w:val="36"/>
        </w:rPr>
        <w:t>第一部分 部门预算公开管理文件</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《关于印发&lt;本溪市财政局部门预决算信息公开管理办法（试行）&gt;的通知》(本财发〔2020〕36号)、本溪市财政局部门预决算信息公开管理办法（试行）</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第一条为推进和规范预决算信息公开工作，强化社会监督，促进依法理财，建立透明预算制度，根据《中华人民共和国预算法》和《中华人民共和国政府信息公开条例》等有关规定，结合我局实际，制定本办法。</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第二条本办法适用于本溪市溪湖区人民政府河东街道办事处部门预决算信息公开管理。</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第三条本办法所称部门预决算信息包括预算收支安排、预算执行、决算数据等。</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第四条预决算信息公开的原则：以公开为常态，不公开为例外，依法依规公开预决算。除涉及国家秘密外，不得少公开、不公开应当公开的事项，确保预决算信息公开及时、准确和完整。</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第五条财务核算部负责我局部门预决算信息公开工作，履行下列职责：</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（一）制定我局部门预决算信息公开的工作方案；</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（二）按规定公开我局部门预决算信息；</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（三）按规定做好公民、法人或者其他组织依申请公开部门预决算信息的答复工作。</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第六条部门预决算信息公开内容包括：</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（一）部门文件。部门预决算信息公开管理办法。</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（二）部门概况。包括部门职责、机构设置、实有人员等情况。</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（三）预决算收支情况表。包括部门收支总体情况、财政拨款安排使用情况、“三公”经费财政拨款安排使用情况等。</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（四）情况说明。包括预决算年度收支、机关运行经费、政府采购、“三公”经费、国有资产占有使用和项目支出绩效目标等情况说明。</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（五）名词解释。对预决算相关专业名词进行解释说明。</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第七条部门预决算信息在我局门户网站“财政预决算”专栏公开，并保持长期公开状态，便于社会公众查询监督。</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第八条经市财政局批复的部门预决算及报表，应当在批复后20日内公开。</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第九条本办法自印发之日起实行。</w:t>
      </w: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r>
        <w:rPr>
          <w:rFonts w:hint="eastAsia" w:ascii="宋体" w:hAnsi="宋体" w:eastAsia="宋体" w:cs="宋体"/>
          <w:b/>
          <w:bCs/>
          <w:color w:val="333333"/>
          <w:kern w:val="0"/>
          <w:sz w:val="36"/>
          <w:szCs w:val="36"/>
        </w:rPr>
        <w:t>第二部分 本溪市溪湖区部门名称概况</w:t>
      </w:r>
    </w:p>
    <w:p>
      <w:pPr>
        <w:keepLines/>
        <w:widowControl/>
        <w:shd w:val="clear" w:color="auto" w:fill="FFFFFF"/>
        <w:ind w:firstLine="645"/>
        <w:jc w:val="left"/>
        <w:rPr>
          <w:rFonts w:ascii="微软雅黑" w:hAnsi="微软雅黑" w:eastAsia="微软雅黑" w:cs="宋体"/>
          <w:color w:val="333333"/>
          <w:kern w:val="0"/>
          <w:sz w:val="24"/>
          <w:szCs w:val="24"/>
        </w:rPr>
      </w:pP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一、部门职责</w:t>
      </w:r>
    </w:p>
    <w:p>
      <w:pPr>
        <w:spacing w:line="540" w:lineRule="exact"/>
        <w:ind w:firstLine="640" w:firstLineChars="200"/>
        <w:rPr>
          <w:rFonts w:ascii="Times New Roman" w:hAnsi="Times New Roman" w:eastAsia="仿宋_GB2312"/>
          <w:sz w:val="32"/>
          <w:szCs w:val="32"/>
        </w:rPr>
      </w:pPr>
      <w:r>
        <w:rPr>
          <w:rFonts w:hint="eastAsia" w:ascii="仿宋_GB2312" w:hAnsi="微软雅黑" w:eastAsia="仿宋_GB2312" w:cs="宋体"/>
          <w:color w:val="333333"/>
          <w:kern w:val="0"/>
          <w:sz w:val="32"/>
          <w:szCs w:val="32"/>
        </w:rPr>
        <w:t xml:space="preserve"> </w:t>
      </w:r>
      <w:r>
        <w:rPr>
          <w:rFonts w:hint="eastAsia" w:ascii="黑体" w:hAnsi="黑体" w:eastAsia="黑体" w:cs="宋体"/>
          <w:color w:val="333333"/>
          <w:kern w:val="0"/>
          <w:sz w:val="32"/>
          <w:szCs w:val="32"/>
          <w:lang w:val="en-US" w:eastAsia="zh-CN"/>
        </w:rPr>
        <w:t xml:space="preserve"> 第一条  </w:t>
      </w:r>
      <w:r>
        <w:rPr>
          <w:rFonts w:hint="eastAsia" w:ascii="仿宋_GB2312" w:eastAsia="仿宋_GB2312"/>
          <w:sz w:val="32"/>
        </w:rPr>
        <w:t>根据</w:t>
      </w:r>
      <w:r>
        <w:rPr>
          <w:rFonts w:hint="eastAsia" w:eastAsia="仿宋_GB2312"/>
          <w:sz w:val="32"/>
        </w:rPr>
        <w:t>《中共辽宁省委办公厅 辽宁省人民政府办公厅关于印发本溪市县（市、区）机构改革方案的通知</w:t>
      </w:r>
      <w:r>
        <w:rPr>
          <w:rFonts w:hint="eastAsia" w:ascii="仿宋_GB2312" w:eastAsia="仿宋_GB2312"/>
          <w:sz w:val="32"/>
        </w:rPr>
        <w:t>》（厅秘发〔2018〕251号），</w:t>
      </w:r>
      <w:r>
        <w:rPr>
          <w:rFonts w:hint="eastAsia" w:eastAsia="仿宋_GB2312"/>
          <w:sz w:val="32"/>
        </w:rPr>
        <w:t>制定本规定</w:t>
      </w:r>
      <w:r>
        <w:rPr>
          <w:rFonts w:hint="eastAsia" w:ascii="仿宋_GB2312" w:eastAsia="仿宋_GB2312"/>
          <w:sz w:val="32"/>
        </w:rPr>
        <w:t>。</w:t>
      </w:r>
    </w:p>
    <w:p>
      <w:pPr>
        <w:ind w:firstLine="960" w:firstLineChars="300"/>
        <w:rPr>
          <w:rFonts w:hint="eastAsia" w:ascii="仿宋_GB2312" w:hAnsi="黑体" w:eastAsia="仿宋_GB2312"/>
          <w:sz w:val="32"/>
          <w:szCs w:val="32"/>
        </w:rPr>
      </w:pPr>
      <w:r>
        <w:rPr>
          <w:rFonts w:hint="eastAsia" w:ascii="黑体" w:hAnsi="黑体" w:eastAsia="黑体" w:cs="宋体"/>
          <w:color w:val="333333"/>
          <w:kern w:val="0"/>
          <w:sz w:val="32"/>
          <w:szCs w:val="32"/>
          <w:lang w:val="en-US" w:eastAsia="zh-CN"/>
        </w:rPr>
        <w:t>第二条</w:t>
      </w:r>
      <w:r>
        <w:rPr>
          <w:rFonts w:hint="eastAsia" w:ascii="仿宋_GB2312" w:hAnsi="黑体" w:eastAsia="仿宋_GB2312"/>
          <w:sz w:val="32"/>
          <w:szCs w:val="32"/>
          <w:lang w:val="en-US" w:eastAsia="zh-CN"/>
        </w:rPr>
        <w:t xml:space="preserve">  </w:t>
      </w:r>
      <w:r>
        <w:rPr>
          <w:rFonts w:hint="eastAsia" w:ascii="仿宋_GB2312" w:hAnsi="黑体" w:eastAsia="仿宋_GB2312"/>
          <w:sz w:val="32"/>
          <w:szCs w:val="32"/>
        </w:rPr>
        <w:t>主要职能：在区委、区政府的领导下，贯彻执行党的路线、方针、政策和国家的各项法律、法规，负责辖区内的地区性、群众性、公益性、社会性工作。主要职责是：</w:t>
      </w:r>
    </w:p>
    <w:p>
      <w:pPr>
        <w:ind w:firstLine="640" w:firstLineChars="200"/>
        <w:rPr>
          <w:rFonts w:hint="eastAsia" w:ascii="仿宋_GB2312" w:hAnsi="黑体" w:eastAsia="仿宋_GB2312"/>
          <w:sz w:val="32"/>
          <w:szCs w:val="32"/>
        </w:rPr>
      </w:pPr>
      <w:r>
        <w:rPr>
          <w:rFonts w:hint="eastAsia" w:ascii="仿宋_GB2312" w:hAnsi="黑体" w:eastAsia="仿宋_GB2312"/>
          <w:sz w:val="32"/>
          <w:szCs w:val="32"/>
        </w:rPr>
        <w:t>(</w:t>
      </w:r>
      <w:r>
        <w:rPr>
          <w:rFonts w:hint="eastAsia" w:ascii="仿宋_GB2312" w:hAnsi="黑体" w:eastAsia="仿宋_GB2312"/>
          <w:sz w:val="32"/>
          <w:szCs w:val="32"/>
          <w:lang w:eastAsia="zh-CN"/>
        </w:rPr>
        <w:t>一</w:t>
      </w:r>
      <w:r>
        <w:rPr>
          <w:rFonts w:hint="eastAsia" w:ascii="仿宋_GB2312" w:hAnsi="黑体" w:eastAsia="仿宋_GB2312"/>
          <w:sz w:val="32"/>
          <w:szCs w:val="32"/>
        </w:rPr>
        <w:t>)党建工作。掌握基层党组织党的建设情况，检查指导各党支部加强党的思想建设、组织建设、作风建设；做好党员干部的思想政治工作；落实好“三会一课”，开展好组织生活；</w:t>
      </w:r>
    </w:p>
    <w:p>
      <w:pPr>
        <w:ind w:firstLine="640" w:firstLineChars="200"/>
        <w:rPr>
          <w:rFonts w:hint="eastAsia" w:ascii="仿宋_GB2312" w:hAnsi="黑体" w:eastAsia="仿宋_GB2312"/>
          <w:sz w:val="32"/>
          <w:szCs w:val="32"/>
        </w:rPr>
      </w:pPr>
      <w:r>
        <w:rPr>
          <w:rFonts w:hint="eastAsia" w:ascii="仿宋_GB2312" w:hAnsi="黑体" w:eastAsia="仿宋_GB2312"/>
          <w:sz w:val="32"/>
          <w:szCs w:val="32"/>
        </w:rPr>
        <w:t>（</w:t>
      </w:r>
      <w:r>
        <w:rPr>
          <w:rFonts w:hint="eastAsia" w:ascii="仿宋_GB2312" w:hAnsi="黑体" w:eastAsia="仿宋_GB2312"/>
          <w:sz w:val="32"/>
          <w:szCs w:val="32"/>
          <w:lang w:eastAsia="zh-CN"/>
        </w:rPr>
        <w:t>二</w:t>
      </w:r>
      <w:r>
        <w:rPr>
          <w:rFonts w:hint="eastAsia" w:ascii="仿宋_GB2312" w:hAnsi="黑体" w:eastAsia="仿宋_GB2312"/>
          <w:sz w:val="32"/>
          <w:szCs w:val="32"/>
        </w:rPr>
        <w:t>）负责综治维稳工作。开展矛盾纠纷源头预防和多元化解工作。</w:t>
      </w:r>
    </w:p>
    <w:p>
      <w:pPr>
        <w:ind w:firstLine="640" w:firstLineChars="200"/>
        <w:rPr>
          <w:rFonts w:hint="eastAsia" w:ascii="仿宋_GB2312" w:hAnsi="黑体" w:eastAsia="仿宋_GB2312"/>
          <w:sz w:val="32"/>
          <w:szCs w:val="32"/>
        </w:rPr>
      </w:pPr>
      <w:r>
        <w:rPr>
          <w:rFonts w:hint="eastAsia" w:ascii="仿宋_GB2312" w:hAnsi="黑体" w:eastAsia="仿宋_GB2312"/>
          <w:sz w:val="32"/>
          <w:szCs w:val="32"/>
        </w:rPr>
        <w:t>（</w:t>
      </w:r>
      <w:r>
        <w:rPr>
          <w:rFonts w:hint="eastAsia" w:ascii="仿宋_GB2312" w:hAnsi="黑体" w:eastAsia="仿宋_GB2312"/>
          <w:sz w:val="32"/>
          <w:szCs w:val="32"/>
          <w:lang w:eastAsia="zh-CN"/>
        </w:rPr>
        <w:t>三</w:t>
      </w:r>
      <w:r>
        <w:rPr>
          <w:rFonts w:hint="eastAsia" w:ascii="仿宋_GB2312" w:hAnsi="黑体" w:eastAsia="仿宋_GB2312"/>
          <w:sz w:val="32"/>
          <w:szCs w:val="32"/>
        </w:rPr>
        <w:t>）负责统计工作。负责组织实施辖区内各项统计调查业务和大型普查工作，履行统计职能，指导社区统计工作；</w:t>
      </w:r>
    </w:p>
    <w:p>
      <w:pPr>
        <w:ind w:firstLine="640" w:firstLineChars="200"/>
        <w:rPr>
          <w:rFonts w:hint="eastAsia" w:ascii="仿宋_GB2312" w:hAnsi="黑体" w:eastAsia="仿宋_GB2312"/>
          <w:sz w:val="32"/>
          <w:szCs w:val="32"/>
        </w:rPr>
      </w:pPr>
      <w:r>
        <w:rPr>
          <w:rFonts w:hint="eastAsia" w:ascii="仿宋_GB2312" w:hAnsi="黑体" w:eastAsia="仿宋_GB2312"/>
          <w:sz w:val="32"/>
          <w:szCs w:val="32"/>
        </w:rPr>
        <w:t>（</w:t>
      </w:r>
      <w:r>
        <w:rPr>
          <w:rFonts w:hint="eastAsia" w:ascii="仿宋_GB2312" w:hAnsi="黑体" w:eastAsia="仿宋_GB2312"/>
          <w:sz w:val="32"/>
          <w:szCs w:val="32"/>
          <w:lang w:eastAsia="zh-CN"/>
        </w:rPr>
        <w:t>四</w:t>
      </w:r>
      <w:r>
        <w:rPr>
          <w:rFonts w:hint="eastAsia" w:ascii="仿宋_GB2312" w:hAnsi="黑体" w:eastAsia="仿宋_GB2312"/>
          <w:sz w:val="32"/>
          <w:szCs w:val="32"/>
        </w:rPr>
        <w:t>）负责环保工作。贯彻落实国家有关环境保护方面的法律、法规和方针政策；加强宣传教育，提高环境意识；</w:t>
      </w:r>
    </w:p>
    <w:p>
      <w:pPr>
        <w:ind w:firstLine="640" w:firstLineChars="200"/>
        <w:rPr>
          <w:rFonts w:hint="eastAsia" w:ascii="仿宋_GB2312" w:hAnsi="黑体" w:eastAsia="仿宋_GB2312"/>
          <w:sz w:val="32"/>
          <w:szCs w:val="32"/>
        </w:rPr>
      </w:pPr>
      <w:r>
        <w:rPr>
          <w:rFonts w:hint="eastAsia" w:ascii="仿宋_GB2312" w:hAnsi="黑体" w:eastAsia="仿宋_GB2312"/>
          <w:sz w:val="32"/>
          <w:szCs w:val="32"/>
        </w:rPr>
        <w:t>（</w:t>
      </w:r>
      <w:r>
        <w:rPr>
          <w:rFonts w:hint="eastAsia" w:ascii="仿宋_GB2312" w:hAnsi="黑体" w:eastAsia="仿宋_GB2312"/>
          <w:sz w:val="32"/>
          <w:szCs w:val="32"/>
          <w:lang w:eastAsia="zh-CN"/>
        </w:rPr>
        <w:t>五</w:t>
      </w:r>
      <w:r>
        <w:rPr>
          <w:rFonts w:hint="eastAsia" w:ascii="仿宋_GB2312" w:hAnsi="黑体" w:eastAsia="仿宋_GB2312"/>
          <w:sz w:val="32"/>
          <w:szCs w:val="32"/>
        </w:rPr>
        <w:t>）负责各区直部门交办各项工作任务（区发改局、区经信局、区服务业局）；</w:t>
      </w:r>
    </w:p>
    <w:p>
      <w:pPr>
        <w:ind w:firstLine="640" w:firstLineChars="200"/>
        <w:rPr>
          <w:rFonts w:hint="eastAsia" w:ascii="仿宋_GB2312" w:hAnsi="黑体" w:eastAsia="仿宋_GB2312"/>
          <w:sz w:val="32"/>
          <w:szCs w:val="32"/>
        </w:rPr>
      </w:pPr>
      <w:r>
        <w:rPr>
          <w:rFonts w:hint="eastAsia" w:ascii="仿宋_GB2312" w:hAnsi="黑体" w:eastAsia="仿宋_GB2312"/>
          <w:sz w:val="32"/>
          <w:szCs w:val="32"/>
        </w:rPr>
        <w:t>（</w:t>
      </w:r>
      <w:r>
        <w:rPr>
          <w:rFonts w:hint="eastAsia" w:ascii="仿宋_GB2312" w:hAnsi="黑体" w:eastAsia="仿宋_GB2312"/>
          <w:sz w:val="32"/>
          <w:szCs w:val="32"/>
          <w:lang w:eastAsia="zh-CN"/>
        </w:rPr>
        <w:t>六</w:t>
      </w:r>
      <w:r>
        <w:rPr>
          <w:rFonts w:hint="eastAsia" w:ascii="仿宋_GB2312" w:hAnsi="黑体" w:eastAsia="仿宋_GB2312"/>
          <w:sz w:val="32"/>
          <w:szCs w:val="32"/>
        </w:rPr>
        <w:t>）负责企业公司人事工作。协助职工办理退休。</w:t>
      </w:r>
    </w:p>
    <w:p>
      <w:pPr>
        <w:ind w:firstLine="640" w:firstLineChars="200"/>
        <w:rPr>
          <w:rFonts w:hint="eastAsia" w:ascii="仿宋_GB2312" w:hAnsi="黑体" w:eastAsia="仿宋_GB2312"/>
          <w:sz w:val="32"/>
          <w:szCs w:val="32"/>
        </w:rPr>
      </w:pPr>
      <w:r>
        <w:rPr>
          <w:rFonts w:hint="eastAsia" w:ascii="仿宋_GB2312" w:hAnsi="黑体" w:eastAsia="仿宋_GB2312"/>
          <w:sz w:val="32"/>
          <w:szCs w:val="32"/>
        </w:rPr>
        <w:t>（</w:t>
      </w:r>
      <w:r>
        <w:rPr>
          <w:rFonts w:hint="eastAsia" w:ascii="仿宋_GB2312" w:hAnsi="黑体" w:eastAsia="仿宋_GB2312"/>
          <w:sz w:val="32"/>
          <w:szCs w:val="32"/>
          <w:lang w:eastAsia="zh-CN"/>
        </w:rPr>
        <w:t>七</w:t>
      </w:r>
      <w:r>
        <w:rPr>
          <w:rFonts w:hint="eastAsia" w:ascii="仿宋_GB2312" w:hAnsi="黑体" w:eastAsia="仿宋_GB2312"/>
          <w:sz w:val="32"/>
          <w:szCs w:val="32"/>
        </w:rPr>
        <w:t>）工商联工作。团结、服务、引导、教育非公有制经济人士爱国、敬业、诚信、守法、贡献，培养拥护党的领导、走中国特色社会主义道路的非公有制经济人士队伍。</w:t>
      </w:r>
    </w:p>
    <w:p>
      <w:pPr>
        <w:ind w:firstLine="640" w:firstLineChars="200"/>
        <w:rPr>
          <w:rFonts w:hint="eastAsia" w:ascii="仿宋_GB2312" w:hAnsi="黑体" w:eastAsia="仿宋_GB2312"/>
          <w:sz w:val="32"/>
          <w:szCs w:val="32"/>
        </w:rPr>
      </w:pPr>
      <w:r>
        <w:rPr>
          <w:rFonts w:hint="eastAsia" w:ascii="仿宋_GB2312" w:hAnsi="黑体" w:eastAsia="仿宋_GB2312"/>
          <w:sz w:val="32"/>
          <w:szCs w:val="32"/>
        </w:rPr>
        <w:t>（</w:t>
      </w:r>
      <w:r>
        <w:rPr>
          <w:rFonts w:hint="eastAsia" w:ascii="仿宋_GB2312" w:hAnsi="黑体" w:eastAsia="仿宋_GB2312"/>
          <w:sz w:val="32"/>
          <w:szCs w:val="32"/>
          <w:lang w:eastAsia="zh-CN"/>
        </w:rPr>
        <w:t>八</w:t>
      </w:r>
      <w:r>
        <w:rPr>
          <w:rFonts w:hint="eastAsia" w:ascii="仿宋_GB2312" w:hAnsi="黑体" w:eastAsia="仿宋_GB2312"/>
          <w:sz w:val="32"/>
          <w:szCs w:val="32"/>
        </w:rPr>
        <w:t>）营商工作。组织贯彻落实《辽宁省优化营商环境条例》；配合有关部门对贯彻落实区委、区政府关于优化营商环境建设工作的考评工作。</w:t>
      </w:r>
    </w:p>
    <w:p>
      <w:pPr>
        <w:ind w:firstLine="640" w:firstLineChars="200"/>
        <w:rPr>
          <w:rFonts w:hint="eastAsia" w:ascii="仿宋_GB2312" w:hAnsi="黑体" w:eastAsia="仿宋_GB2312"/>
          <w:sz w:val="32"/>
          <w:szCs w:val="32"/>
        </w:rPr>
      </w:pPr>
      <w:r>
        <w:rPr>
          <w:rFonts w:hint="eastAsia" w:ascii="仿宋_GB2312" w:hAnsi="黑体" w:eastAsia="仿宋_GB2312"/>
          <w:sz w:val="32"/>
          <w:szCs w:val="32"/>
        </w:rPr>
        <w:t>（</w:t>
      </w:r>
      <w:r>
        <w:rPr>
          <w:rFonts w:hint="eastAsia" w:ascii="仿宋_GB2312" w:hAnsi="黑体" w:eastAsia="仿宋_GB2312"/>
          <w:sz w:val="32"/>
          <w:szCs w:val="32"/>
          <w:lang w:eastAsia="zh-CN"/>
        </w:rPr>
        <w:t>九</w:t>
      </w:r>
      <w:r>
        <w:rPr>
          <w:rFonts w:hint="eastAsia" w:ascii="仿宋_GB2312" w:hAnsi="黑体" w:eastAsia="仿宋_GB2312"/>
          <w:sz w:val="32"/>
          <w:szCs w:val="32"/>
        </w:rPr>
        <w:t>）安全工作。依法对本辖区内公众聚集场所、危险化学品、建筑、学校等安全生产重点单位和重点部位进行监督管理；拟定安全生产年度工作计划、目标任务、工作措施和目标考核办法，协调辖区单位并督促落实有关工作；</w:t>
      </w:r>
    </w:p>
    <w:p>
      <w:pPr>
        <w:ind w:firstLine="640" w:firstLineChars="200"/>
        <w:rPr>
          <w:rFonts w:hint="eastAsia" w:ascii="仿宋_GB2312" w:hAnsi="黑体" w:eastAsia="仿宋_GB2312"/>
          <w:sz w:val="32"/>
          <w:szCs w:val="32"/>
        </w:rPr>
      </w:pPr>
      <w:r>
        <w:rPr>
          <w:rFonts w:hint="eastAsia" w:ascii="仿宋_GB2312" w:hAnsi="黑体" w:eastAsia="仿宋_GB2312"/>
          <w:sz w:val="32"/>
          <w:szCs w:val="32"/>
        </w:rPr>
        <w:t>（</w:t>
      </w:r>
      <w:r>
        <w:rPr>
          <w:rFonts w:hint="eastAsia" w:ascii="仿宋_GB2312" w:hAnsi="黑体" w:eastAsia="仿宋_GB2312"/>
          <w:sz w:val="32"/>
          <w:szCs w:val="32"/>
          <w:lang w:eastAsia="zh-CN"/>
        </w:rPr>
        <w:t>十</w:t>
      </w:r>
      <w:r>
        <w:rPr>
          <w:rFonts w:hint="eastAsia" w:ascii="仿宋_GB2312" w:hAnsi="黑体" w:eastAsia="仿宋_GB2312"/>
          <w:sz w:val="32"/>
          <w:szCs w:val="32"/>
        </w:rPr>
        <w:t>）武装工作。抓好民兵组织建设，搞好民兵组织整顿，搞好民兵干部的选拔，培养，使用和管理工作。开展民兵军事训练，组织参训民兵学习现代军事科技和战，熟练掌握手中武器。</w:t>
      </w:r>
    </w:p>
    <w:p>
      <w:pPr>
        <w:ind w:firstLine="640" w:firstLineChars="200"/>
        <w:rPr>
          <w:rFonts w:hint="eastAsia" w:ascii="仿宋_GB2312" w:hAnsi="黑体" w:eastAsia="仿宋_GB2312"/>
          <w:sz w:val="32"/>
          <w:szCs w:val="32"/>
        </w:rPr>
      </w:pPr>
      <w:r>
        <w:rPr>
          <w:rFonts w:hint="eastAsia" w:ascii="仿宋_GB2312" w:hAnsi="黑体" w:eastAsia="仿宋_GB2312"/>
          <w:sz w:val="32"/>
          <w:szCs w:val="32"/>
        </w:rPr>
        <w:t>（</w:t>
      </w:r>
      <w:r>
        <w:rPr>
          <w:rFonts w:hint="eastAsia" w:ascii="仿宋_GB2312" w:hAnsi="黑体" w:eastAsia="仿宋_GB2312"/>
          <w:sz w:val="32"/>
          <w:szCs w:val="32"/>
          <w:lang w:eastAsia="zh-CN"/>
        </w:rPr>
        <w:t>十一</w:t>
      </w:r>
      <w:r>
        <w:rPr>
          <w:rFonts w:hint="eastAsia" w:ascii="仿宋_GB2312" w:hAnsi="黑体" w:eastAsia="仿宋_GB2312"/>
          <w:sz w:val="32"/>
          <w:szCs w:val="32"/>
        </w:rPr>
        <w:t>）办公室工作。负责街道各种公文业务工作；负责街道信息情报通知及上传下达相关事宜的处理；</w:t>
      </w:r>
    </w:p>
    <w:p>
      <w:pPr>
        <w:ind w:firstLine="640" w:firstLineChars="200"/>
        <w:rPr>
          <w:rFonts w:hint="eastAsia" w:ascii="仿宋_GB2312" w:hAnsi="黑体" w:eastAsia="仿宋_GB2312"/>
          <w:sz w:val="32"/>
          <w:szCs w:val="32"/>
        </w:rPr>
      </w:pPr>
      <w:r>
        <w:rPr>
          <w:rFonts w:hint="eastAsia" w:ascii="仿宋_GB2312" w:hAnsi="黑体" w:eastAsia="仿宋_GB2312"/>
          <w:sz w:val="32"/>
          <w:szCs w:val="32"/>
        </w:rPr>
        <w:t>（</w:t>
      </w:r>
      <w:r>
        <w:rPr>
          <w:rFonts w:hint="eastAsia" w:ascii="仿宋_GB2312" w:hAnsi="黑体" w:eastAsia="仿宋_GB2312"/>
          <w:sz w:val="32"/>
          <w:szCs w:val="32"/>
          <w:lang w:eastAsia="zh-CN"/>
        </w:rPr>
        <w:t>十二</w:t>
      </w:r>
      <w:r>
        <w:rPr>
          <w:rFonts w:hint="eastAsia" w:ascii="仿宋_GB2312" w:hAnsi="黑体" w:eastAsia="仿宋_GB2312"/>
          <w:sz w:val="32"/>
          <w:szCs w:val="32"/>
        </w:rPr>
        <w:t>）财务工作。严格执行财务管理制度，对各项财务收支活动都要进行统一管理，统一核算，并进行监督；2、认真组织会计核算，办理会计业务；及时清理债权、债务，正确编制会计报表；</w:t>
      </w:r>
    </w:p>
    <w:p>
      <w:pPr>
        <w:ind w:firstLine="640" w:firstLineChars="200"/>
        <w:rPr>
          <w:rFonts w:hint="eastAsia" w:ascii="仿宋_GB2312" w:hAnsi="黑体" w:eastAsia="仿宋_GB2312"/>
          <w:sz w:val="32"/>
          <w:szCs w:val="32"/>
        </w:rPr>
      </w:pPr>
      <w:r>
        <w:rPr>
          <w:rFonts w:hint="eastAsia" w:ascii="仿宋_GB2312" w:hAnsi="黑体" w:eastAsia="仿宋_GB2312"/>
          <w:sz w:val="32"/>
          <w:szCs w:val="32"/>
        </w:rPr>
        <w:t>（</w:t>
      </w:r>
      <w:r>
        <w:rPr>
          <w:rFonts w:hint="eastAsia" w:ascii="仿宋_GB2312" w:hAnsi="黑体" w:eastAsia="仿宋_GB2312"/>
          <w:sz w:val="32"/>
          <w:szCs w:val="32"/>
          <w:lang w:eastAsia="zh-CN"/>
        </w:rPr>
        <w:t>十三</w:t>
      </w:r>
      <w:r>
        <w:rPr>
          <w:rFonts w:hint="eastAsia" w:ascii="仿宋_GB2312" w:hAnsi="黑体" w:eastAsia="仿宋_GB2312"/>
          <w:sz w:val="32"/>
          <w:szCs w:val="32"/>
        </w:rPr>
        <w:t>）低保工作。服务中心工作人员要在区民政局、社区的支持下进行入户走访、邻里调查、单位取证、听证审批工作。</w:t>
      </w:r>
    </w:p>
    <w:p>
      <w:pPr>
        <w:ind w:firstLine="640" w:firstLineChars="200"/>
        <w:rPr>
          <w:rFonts w:hint="eastAsia" w:ascii="仿宋_GB2312" w:hAnsi="黑体" w:eastAsia="仿宋_GB2312"/>
          <w:sz w:val="32"/>
          <w:szCs w:val="32"/>
        </w:rPr>
      </w:pPr>
      <w:r>
        <w:rPr>
          <w:rFonts w:hint="eastAsia" w:ascii="仿宋_GB2312" w:hAnsi="黑体" w:eastAsia="仿宋_GB2312"/>
          <w:sz w:val="32"/>
          <w:szCs w:val="32"/>
        </w:rPr>
        <w:t>（</w:t>
      </w:r>
      <w:r>
        <w:rPr>
          <w:rFonts w:hint="eastAsia" w:ascii="仿宋_GB2312" w:hAnsi="黑体" w:eastAsia="仿宋_GB2312"/>
          <w:sz w:val="32"/>
          <w:szCs w:val="32"/>
          <w:lang w:eastAsia="zh-CN"/>
        </w:rPr>
        <w:t>十四</w:t>
      </w:r>
      <w:r>
        <w:rPr>
          <w:rFonts w:hint="eastAsia" w:ascii="仿宋_GB2312" w:hAnsi="黑体" w:eastAsia="仿宋_GB2312"/>
          <w:sz w:val="32"/>
          <w:szCs w:val="32"/>
        </w:rPr>
        <w:t>）双拥优抚工作。组织社区开展双拥工作，重大节日走访慰问地区单位。积极宣传拥军优属工作，宣传居民共建，军爱民、民拥军，增强军属的荣誉感和人民群众的责任感。</w:t>
      </w:r>
    </w:p>
    <w:p>
      <w:pPr>
        <w:ind w:firstLine="640" w:firstLineChars="200"/>
        <w:rPr>
          <w:rFonts w:hint="eastAsia" w:ascii="仿宋_GB2312" w:hAnsi="黑体" w:eastAsia="仿宋_GB2312"/>
          <w:sz w:val="32"/>
          <w:szCs w:val="32"/>
        </w:rPr>
      </w:pPr>
      <w:r>
        <w:rPr>
          <w:rFonts w:hint="eastAsia" w:ascii="仿宋_GB2312" w:hAnsi="黑体" w:eastAsia="仿宋_GB2312"/>
          <w:sz w:val="32"/>
          <w:szCs w:val="32"/>
        </w:rPr>
        <w:t>（</w:t>
      </w:r>
      <w:r>
        <w:rPr>
          <w:rFonts w:hint="eastAsia" w:ascii="仿宋_GB2312" w:hAnsi="黑体" w:eastAsia="仿宋_GB2312"/>
          <w:sz w:val="32"/>
          <w:szCs w:val="32"/>
          <w:lang w:eastAsia="zh-CN"/>
        </w:rPr>
        <w:t>十五</w:t>
      </w:r>
      <w:r>
        <w:rPr>
          <w:rFonts w:hint="eastAsia" w:ascii="仿宋_GB2312" w:hAnsi="黑体" w:eastAsia="仿宋_GB2312"/>
          <w:sz w:val="32"/>
          <w:szCs w:val="32"/>
        </w:rPr>
        <w:t>）慈善工作。按要求参加各级慈善组织开展的义工服务活动。</w:t>
      </w:r>
    </w:p>
    <w:p>
      <w:pPr>
        <w:ind w:firstLine="640" w:firstLineChars="200"/>
        <w:rPr>
          <w:rFonts w:hint="eastAsia" w:ascii="仿宋_GB2312" w:hAnsi="黑体" w:eastAsia="仿宋_GB2312"/>
          <w:sz w:val="32"/>
          <w:szCs w:val="32"/>
        </w:rPr>
      </w:pPr>
      <w:r>
        <w:rPr>
          <w:rFonts w:hint="eastAsia" w:ascii="仿宋_GB2312" w:hAnsi="黑体" w:eastAsia="仿宋_GB2312"/>
          <w:sz w:val="32"/>
          <w:szCs w:val="32"/>
        </w:rPr>
        <w:t>（</w:t>
      </w:r>
      <w:r>
        <w:rPr>
          <w:rFonts w:hint="eastAsia" w:ascii="仿宋_GB2312" w:hAnsi="黑体" w:eastAsia="仿宋_GB2312"/>
          <w:sz w:val="32"/>
          <w:szCs w:val="32"/>
          <w:lang w:eastAsia="zh-CN"/>
        </w:rPr>
        <w:t>十六</w:t>
      </w:r>
      <w:r>
        <w:rPr>
          <w:rFonts w:hint="eastAsia" w:ascii="仿宋_GB2312" w:hAnsi="黑体" w:eastAsia="仿宋_GB2312"/>
          <w:sz w:val="32"/>
          <w:szCs w:val="32"/>
        </w:rPr>
        <w:t>）负责劳动保障工作。负责对就业困难对象人员申请公益性岗位工作，与办事处签字劳动合同。做好数据汇总、活动组织、人员和日常工作的管理。失业和求职人员的数据统计、岗位匹配、企业用工信息的收集和本辖区信息发布、入户调查登记、走访用工企业与求职人员进行对接。</w:t>
      </w:r>
    </w:p>
    <w:p>
      <w:pPr>
        <w:ind w:firstLine="640" w:firstLineChars="200"/>
        <w:rPr>
          <w:rFonts w:hint="eastAsia" w:ascii="仿宋_GB2312" w:hAnsi="黑体" w:eastAsia="仿宋_GB2312"/>
          <w:sz w:val="32"/>
          <w:szCs w:val="32"/>
        </w:rPr>
      </w:pPr>
      <w:r>
        <w:rPr>
          <w:rFonts w:hint="eastAsia" w:ascii="仿宋_GB2312" w:hAnsi="黑体" w:eastAsia="仿宋_GB2312"/>
          <w:sz w:val="32"/>
          <w:szCs w:val="32"/>
        </w:rPr>
        <w:t>（</w:t>
      </w:r>
      <w:r>
        <w:rPr>
          <w:rFonts w:hint="eastAsia" w:ascii="仿宋_GB2312" w:hAnsi="黑体" w:eastAsia="仿宋_GB2312"/>
          <w:sz w:val="32"/>
          <w:szCs w:val="32"/>
          <w:lang w:eastAsia="zh-CN"/>
        </w:rPr>
        <w:t>十七</w:t>
      </w:r>
      <w:r>
        <w:rPr>
          <w:rFonts w:hint="eastAsia" w:ascii="仿宋_GB2312" w:hAnsi="黑体" w:eastAsia="仿宋_GB2312"/>
          <w:sz w:val="32"/>
          <w:szCs w:val="32"/>
        </w:rPr>
        <w:t>）计生、卫生、体育、教育等工作。补办独生子女证、发放避孕药具、统计病、残子女数上报办理特扶。发放灭蚊、灭鼠药具、做好体育器材统计上报。</w:t>
      </w:r>
    </w:p>
    <w:p>
      <w:pPr>
        <w:ind w:firstLine="640" w:firstLineChars="200"/>
        <w:rPr>
          <w:rFonts w:hint="eastAsia" w:ascii="仿宋_GB2312" w:hAnsi="黑体" w:eastAsia="仿宋_GB2312"/>
          <w:sz w:val="32"/>
          <w:szCs w:val="32"/>
        </w:rPr>
      </w:pPr>
      <w:r>
        <w:rPr>
          <w:rFonts w:hint="eastAsia" w:ascii="仿宋_GB2312" w:hAnsi="黑体" w:eastAsia="仿宋_GB2312"/>
          <w:sz w:val="32"/>
          <w:szCs w:val="32"/>
        </w:rPr>
        <w:t>（</w:t>
      </w:r>
      <w:r>
        <w:rPr>
          <w:rFonts w:hint="eastAsia" w:ascii="仿宋_GB2312" w:hAnsi="黑体" w:eastAsia="仿宋_GB2312"/>
          <w:sz w:val="32"/>
          <w:szCs w:val="32"/>
          <w:lang w:eastAsia="zh-CN"/>
        </w:rPr>
        <w:t>十八</w:t>
      </w:r>
      <w:r>
        <w:rPr>
          <w:rFonts w:hint="eastAsia" w:ascii="仿宋_GB2312" w:hAnsi="黑体" w:eastAsia="仿宋_GB2312"/>
          <w:sz w:val="32"/>
          <w:szCs w:val="32"/>
        </w:rPr>
        <w:t>）社区建设工作。负责做好年终居委会考核的工作。</w:t>
      </w:r>
    </w:p>
    <w:p>
      <w:pPr>
        <w:ind w:firstLine="640" w:firstLineChars="200"/>
        <w:rPr>
          <w:rFonts w:hint="eastAsia" w:ascii="仿宋_GB2312" w:hAnsi="黑体" w:eastAsia="仿宋_GB2312"/>
          <w:sz w:val="32"/>
          <w:szCs w:val="32"/>
        </w:rPr>
      </w:pPr>
      <w:r>
        <w:rPr>
          <w:rFonts w:hint="eastAsia" w:ascii="黑体" w:hAnsi="黑体" w:eastAsia="黑体" w:cs="宋体"/>
          <w:color w:val="333333"/>
          <w:kern w:val="0"/>
          <w:sz w:val="32"/>
          <w:szCs w:val="32"/>
          <w:lang w:val="en-US" w:eastAsia="zh-CN"/>
        </w:rPr>
        <w:t xml:space="preserve">第三条 </w:t>
      </w:r>
      <w:r>
        <w:rPr>
          <w:rFonts w:hint="eastAsia" w:ascii="仿宋_GB2312" w:hAnsi="黑体" w:eastAsia="仿宋_GB2312"/>
          <w:sz w:val="32"/>
          <w:szCs w:val="32"/>
        </w:rPr>
        <w:t>负责抓好社区干部队伍的建设，加强政治思想、业务知识的教育、培训，提高社区干部的综合素质。</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黑体" w:eastAsia="仿宋_GB2312"/>
          <w:sz w:val="32"/>
          <w:szCs w:val="32"/>
        </w:rPr>
        <w:t>（</w:t>
      </w:r>
      <w:r>
        <w:rPr>
          <w:rFonts w:hint="eastAsia" w:ascii="仿宋_GB2312" w:hAnsi="黑体" w:eastAsia="仿宋_GB2312"/>
          <w:sz w:val="32"/>
          <w:szCs w:val="32"/>
          <w:lang w:eastAsia="zh-CN"/>
        </w:rPr>
        <w:t>十九</w:t>
      </w:r>
      <w:r>
        <w:rPr>
          <w:rFonts w:hint="eastAsia" w:ascii="仿宋_GB2312" w:hAnsi="黑体" w:eastAsia="仿宋_GB2312"/>
          <w:sz w:val="32"/>
          <w:szCs w:val="32"/>
        </w:rPr>
        <w:t>）残疾、康复工作。因疾病或外伤等引起不能进行一般人所能从事的工作、学习或其他活动人员可以自愿办理残疾人证。因疾病的加重或年龄的增长引起残疾加重等可由残疾人或残疾人的监护人申请提级。要求社区对残疾人进行摸底调查，详细掌握残疾人康复需求底数，建立随报制度，做好转介服务。</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二、机构设置</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纳入本溪市溪湖区</w:t>
      </w:r>
      <w:r>
        <w:rPr>
          <w:rFonts w:hint="eastAsia" w:ascii="仿宋_GB2312" w:hAnsi="微软雅黑" w:eastAsia="仿宋_GB2312" w:cs="宋体"/>
          <w:color w:val="333333"/>
          <w:kern w:val="0"/>
          <w:sz w:val="32"/>
          <w:szCs w:val="32"/>
          <w:lang w:eastAsia="zh-CN"/>
        </w:rPr>
        <w:t>人民政府</w:t>
      </w:r>
      <w:r>
        <w:rPr>
          <w:rFonts w:hint="eastAsia" w:ascii="仿宋_GB2312" w:eastAsia="仿宋_GB2312"/>
          <w:sz w:val="32"/>
          <w:szCs w:val="32"/>
        </w:rPr>
        <w:t>河东街道办事处</w:t>
      </w:r>
      <w:r>
        <w:rPr>
          <w:rFonts w:hint="eastAsia" w:ascii="仿宋_GB2312" w:hAnsi="微软雅黑" w:eastAsia="仿宋_GB2312" w:cs="宋体"/>
          <w:color w:val="333333"/>
          <w:kern w:val="0"/>
          <w:sz w:val="32"/>
          <w:szCs w:val="32"/>
        </w:rPr>
        <w:t>2022年部门预算编制范围的二级预算单位包括：</w:t>
      </w:r>
    </w:p>
    <w:p>
      <w:pPr>
        <w:keepLines/>
        <w:widowControl/>
        <w:shd w:val="clear" w:color="auto" w:fill="FFFFFF"/>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 xml:space="preserve">（一） </w:t>
      </w:r>
      <w:r>
        <w:rPr>
          <w:rFonts w:hint="eastAsia" w:ascii="仿宋_GB2312" w:eastAsia="仿宋_GB2312"/>
          <w:sz w:val="32"/>
          <w:szCs w:val="32"/>
        </w:rPr>
        <w:t>本溪市溪湖区河东街道办事处</w:t>
      </w:r>
    </w:p>
    <w:p>
      <w:pPr>
        <w:keepLines/>
        <w:widowControl/>
        <w:shd w:val="clear" w:color="auto" w:fill="FFFFFF"/>
        <w:ind w:firstLine="645"/>
        <w:jc w:val="left"/>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r>
        <w:rPr>
          <w:rFonts w:hint="eastAsia" w:ascii="宋体" w:hAnsi="宋体" w:eastAsia="宋体" w:cs="宋体"/>
          <w:b/>
          <w:bCs/>
          <w:color w:val="333333"/>
          <w:kern w:val="0"/>
          <w:sz w:val="36"/>
          <w:szCs w:val="36"/>
        </w:rPr>
        <w:t>第三部分本溪市溪湖区</w:t>
      </w:r>
      <w:r>
        <w:rPr>
          <w:rFonts w:hint="eastAsia" w:ascii="宋体" w:hAnsi="宋体" w:eastAsia="宋体" w:cs="宋体"/>
          <w:b/>
          <w:bCs/>
          <w:color w:val="333333"/>
          <w:kern w:val="0"/>
          <w:sz w:val="36"/>
          <w:szCs w:val="36"/>
          <w:lang w:eastAsia="zh-CN"/>
        </w:rPr>
        <w:t>人民政府</w:t>
      </w:r>
      <w:r>
        <w:rPr>
          <w:rFonts w:hint="eastAsia" w:ascii="宋体" w:hAnsi="宋体" w:eastAsia="宋体" w:cs="宋体"/>
          <w:b/>
          <w:bCs/>
          <w:color w:val="333333"/>
          <w:kern w:val="0"/>
          <w:sz w:val="36"/>
          <w:szCs w:val="36"/>
        </w:rPr>
        <w:t>河东街道办事处2022年部门预算情况说明</w:t>
      </w:r>
    </w:p>
    <w:p>
      <w:pPr>
        <w:keepLines/>
        <w:widowControl/>
        <w:shd w:val="clear" w:color="auto" w:fill="FFFFFF"/>
        <w:jc w:val="left"/>
        <w:rPr>
          <w:rFonts w:ascii="微软雅黑" w:hAnsi="微软雅黑" w:eastAsia="微软雅黑" w:cs="宋体"/>
          <w:color w:val="333333"/>
          <w:kern w:val="0"/>
          <w:sz w:val="24"/>
          <w:szCs w:val="24"/>
        </w:rPr>
      </w:pPr>
    </w:p>
    <w:p>
      <w:pPr>
        <w:keepLines/>
        <w:widowControl/>
        <w:shd w:val="clear" w:color="auto" w:fill="FFFFFF"/>
        <w:ind w:firstLine="630"/>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一、收支预算的总体情况</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按照综合预算的原则，本溪市溪湖区</w:t>
      </w:r>
      <w:r>
        <w:rPr>
          <w:rFonts w:hint="eastAsia" w:ascii="仿宋_GB2312" w:hAnsi="微软雅黑" w:eastAsia="仿宋_GB2312" w:cs="宋体"/>
          <w:color w:val="333333"/>
          <w:kern w:val="0"/>
          <w:sz w:val="32"/>
          <w:szCs w:val="32"/>
          <w:lang w:eastAsia="zh-CN"/>
        </w:rPr>
        <w:t>人民政府</w:t>
      </w:r>
      <w:r>
        <w:rPr>
          <w:rFonts w:hint="eastAsia" w:ascii="仿宋_GB2312" w:hAnsi="微软雅黑" w:eastAsia="仿宋_GB2312" w:cs="宋体"/>
          <w:color w:val="333333"/>
          <w:kern w:val="0"/>
          <w:sz w:val="32"/>
          <w:szCs w:val="32"/>
        </w:rPr>
        <w:t>河东街道办事处所有收入和支出均纳入部门预算管理。其中：</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仿宋_GB2312" w:hAnsi="微软雅黑" w:eastAsia="仿宋_GB2312" w:cs="宋体"/>
          <w:b/>
          <w:bCs/>
          <w:color w:val="333333"/>
          <w:kern w:val="0"/>
          <w:sz w:val="32"/>
          <w:szCs w:val="32"/>
        </w:rPr>
        <w:t>（一）收入预算</w:t>
      </w:r>
      <w:r>
        <w:rPr>
          <w:rFonts w:hint="eastAsia" w:ascii="仿宋_GB2312" w:hAnsi="微软雅黑" w:eastAsia="仿宋_GB2312" w:cs="宋体"/>
          <w:b/>
          <w:bCs/>
          <w:color w:val="333333"/>
          <w:kern w:val="0"/>
          <w:sz w:val="32"/>
          <w:szCs w:val="32"/>
          <w:lang w:val="en-US" w:eastAsia="zh-CN"/>
        </w:rPr>
        <w:t>244.13</w:t>
      </w:r>
      <w:r>
        <w:rPr>
          <w:rFonts w:hint="eastAsia" w:ascii="仿宋_GB2312" w:hAnsi="微软雅黑" w:eastAsia="仿宋_GB2312" w:cs="宋体"/>
          <w:b/>
          <w:bCs/>
          <w:color w:val="333333"/>
          <w:kern w:val="0"/>
          <w:sz w:val="32"/>
          <w:szCs w:val="32"/>
        </w:rPr>
        <w:t>万元，</w:t>
      </w:r>
      <w:r>
        <w:rPr>
          <w:rFonts w:hint="eastAsia" w:ascii="仿宋_GB2312" w:hAnsi="微软雅黑" w:eastAsia="仿宋_GB2312" w:cs="宋体"/>
          <w:color w:val="333333"/>
          <w:kern w:val="0"/>
          <w:sz w:val="32"/>
          <w:szCs w:val="32"/>
        </w:rPr>
        <w:t>包括：</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1.财政拨款收入</w:t>
      </w:r>
      <w:r>
        <w:rPr>
          <w:rFonts w:hint="eastAsia" w:ascii="仿宋_GB2312" w:hAnsi="微软雅黑" w:eastAsia="仿宋_GB2312" w:cs="宋体"/>
          <w:color w:val="333333"/>
          <w:kern w:val="0"/>
          <w:sz w:val="32"/>
          <w:szCs w:val="32"/>
          <w:lang w:val="en-US" w:eastAsia="zh-CN"/>
        </w:rPr>
        <w:t>234.13</w:t>
      </w:r>
      <w:r>
        <w:rPr>
          <w:rFonts w:hint="eastAsia" w:ascii="仿宋_GB2312" w:hAnsi="微软雅黑" w:eastAsia="仿宋_GB2312" w:cs="宋体"/>
          <w:color w:val="333333"/>
          <w:kern w:val="0"/>
          <w:sz w:val="32"/>
          <w:szCs w:val="32"/>
        </w:rPr>
        <w:t>万元；</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2.纳入预算管理的行政事业性收费等非税收入0万元；</w:t>
      </w:r>
    </w:p>
    <w:p>
      <w:pPr>
        <w:keepLines/>
        <w:widowControl/>
        <w:shd w:val="clear" w:color="auto" w:fill="FFFFFF"/>
        <w:ind w:firstLine="645"/>
        <w:jc w:val="left"/>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3.纳入预算管理的政府性基金收入</w:t>
      </w:r>
      <w:r>
        <w:rPr>
          <w:rFonts w:hint="eastAsia" w:ascii="仿宋_GB2312" w:hAnsi="微软雅黑" w:eastAsia="仿宋_GB2312" w:cs="宋体"/>
          <w:color w:val="333333"/>
          <w:kern w:val="0"/>
          <w:sz w:val="32"/>
          <w:szCs w:val="32"/>
          <w:lang w:val="en-US" w:eastAsia="zh-CN"/>
        </w:rPr>
        <w:t>10</w:t>
      </w:r>
      <w:r>
        <w:rPr>
          <w:rFonts w:hint="eastAsia" w:ascii="仿宋_GB2312" w:hAnsi="微软雅黑" w:eastAsia="仿宋_GB2312" w:cs="宋体"/>
          <w:color w:val="333333"/>
          <w:kern w:val="0"/>
          <w:sz w:val="32"/>
          <w:szCs w:val="32"/>
        </w:rPr>
        <w:t>万元；</w:t>
      </w:r>
    </w:p>
    <w:p>
      <w:pPr>
        <w:keepLines/>
        <w:widowControl/>
        <w:shd w:val="clear" w:color="auto" w:fill="FFFFFF"/>
        <w:ind w:firstLine="645"/>
        <w:jc w:val="left"/>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4.纳入专户管理的行政事业性收费收入0万元；</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5.转移性收入0万元。</w:t>
      </w:r>
    </w:p>
    <w:p>
      <w:pPr>
        <w:keepLines/>
        <w:widowControl/>
        <w:shd w:val="clear" w:color="auto" w:fill="FFFFFF"/>
        <w:ind w:firstLine="645"/>
        <w:jc w:val="left"/>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6.其他收入0万元。</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仿宋_GB2312" w:hAnsi="微软雅黑" w:eastAsia="仿宋_GB2312" w:cs="宋体"/>
          <w:b/>
          <w:bCs/>
          <w:color w:val="333333"/>
          <w:kern w:val="0"/>
          <w:sz w:val="32"/>
          <w:szCs w:val="32"/>
        </w:rPr>
        <w:t>（二）支出预算</w:t>
      </w:r>
      <w:r>
        <w:rPr>
          <w:rFonts w:hint="eastAsia" w:ascii="仿宋_GB2312" w:hAnsi="微软雅黑" w:eastAsia="仿宋_GB2312" w:cs="宋体"/>
          <w:b/>
          <w:bCs/>
          <w:color w:val="333333"/>
          <w:kern w:val="0"/>
          <w:sz w:val="32"/>
          <w:szCs w:val="32"/>
          <w:lang w:val="en-US" w:eastAsia="zh-CN"/>
        </w:rPr>
        <w:t>244.13</w:t>
      </w:r>
      <w:r>
        <w:rPr>
          <w:rFonts w:hint="eastAsia" w:ascii="仿宋_GB2312" w:hAnsi="微软雅黑" w:eastAsia="仿宋_GB2312" w:cs="宋体"/>
          <w:b/>
          <w:bCs/>
          <w:color w:val="333333"/>
          <w:kern w:val="0"/>
          <w:sz w:val="32"/>
          <w:szCs w:val="32"/>
        </w:rPr>
        <w:t>万元，</w:t>
      </w:r>
      <w:r>
        <w:rPr>
          <w:rFonts w:hint="eastAsia" w:ascii="仿宋_GB2312" w:hAnsi="微软雅黑" w:eastAsia="仿宋_GB2312" w:cs="宋体"/>
          <w:color w:val="333333"/>
          <w:kern w:val="0"/>
          <w:sz w:val="32"/>
          <w:szCs w:val="32"/>
        </w:rPr>
        <w:t>包括：</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1.基本支出</w:t>
      </w:r>
      <w:r>
        <w:rPr>
          <w:rFonts w:hint="eastAsia" w:ascii="仿宋_GB2312" w:hAnsi="微软雅黑" w:eastAsia="仿宋_GB2312" w:cs="宋体"/>
          <w:color w:val="333333"/>
          <w:kern w:val="0"/>
          <w:sz w:val="32"/>
          <w:szCs w:val="32"/>
          <w:lang w:val="en-US" w:eastAsia="zh-CN"/>
        </w:rPr>
        <w:t>228.59</w:t>
      </w:r>
      <w:r>
        <w:rPr>
          <w:rFonts w:hint="eastAsia" w:ascii="仿宋_GB2312" w:hAnsi="微软雅黑" w:eastAsia="仿宋_GB2312" w:cs="宋体"/>
          <w:color w:val="333333"/>
          <w:kern w:val="0"/>
          <w:sz w:val="32"/>
          <w:szCs w:val="32"/>
        </w:rPr>
        <w:t>万元；</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2.项目支出</w:t>
      </w:r>
      <w:r>
        <w:rPr>
          <w:rFonts w:hint="eastAsia" w:ascii="仿宋_GB2312" w:hAnsi="微软雅黑" w:eastAsia="仿宋_GB2312" w:cs="宋体"/>
          <w:color w:val="333333"/>
          <w:kern w:val="0"/>
          <w:sz w:val="32"/>
          <w:szCs w:val="32"/>
          <w:lang w:val="en-US" w:eastAsia="zh-CN"/>
        </w:rPr>
        <w:t>15.54</w:t>
      </w:r>
      <w:r>
        <w:rPr>
          <w:rFonts w:hint="eastAsia" w:ascii="仿宋_GB2312" w:hAnsi="微软雅黑" w:eastAsia="仿宋_GB2312" w:cs="宋体"/>
          <w:color w:val="333333"/>
          <w:kern w:val="0"/>
          <w:sz w:val="32"/>
          <w:szCs w:val="32"/>
        </w:rPr>
        <w:t>万元；</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2022年预算收支比2021年减少</w:t>
      </w:r>
      <w:r>
        <w:rPr>
          <w:rFonts w:hint="eastAsia" w:ascii="仿宋_GB2312" w:hAnsi="微软雅黑" w:eastAsia="仿宋_GB2312" w:cs="宋体"/>
          <w:color w:val="333333"/>
          <w:kern w:val="0"/>
          <w:sz w:val="32"/>
          <w:szCs w:val="32"/>
          <w:lang w:val="en-US" w:eastAsia="zh-CN"/>
        </w:rPr>
        <w:t>411.66</w:t>
      </w:r>
      <w:r>
        <w:rPr>
          <w:rFonts w:hint="eastAsia" w:ascii="仿宋_GB2312" w:hAnsi="微软雅黑" w:eastAsia="仿宋_GB2312" w:cs="宋体"/>
          <w:color w:val="333333"/>
          <w:kern w:val="0"/>
          <w:sz w:val="32"/>
          <w:szCs w:val="32"/>
        </w:rPr>
        <w:t>万元，增减变化的主要原因为</w:t>
      </w:r>
      <w:r>
        <w:rPr>
          <w:rFonts w:hint="eastAsia" w:ascii="仿宋_GB2312" w:hAnsi="微软雅黑" w:eastAsia="仿宋_GB2312" w:cs="宋体"/>
          <w:color w:val="333333"/>
          <w:kern w:val="0"/>
          <w:sz w:val="32"/>
          <w:szCs w:val="32"/>
          <w:lang w:eastAsia="zh-CN"/>
        </w:rPr>
        <w:t>办事处的所有社区工作者工资由民政局统一收发，账务处理不经办事处收发代办</w:t>
      </w:r>
      <w:r>
        <w:rPr>
          <w:rFonts w:hint="eastAsia" w:ascii="仿宋_GB2312" w:hAnsi="微软雅黑" w:eastAsia="仿宋_GB2312" w:cs="宋体"/>
          <w:color w:val="333333"/>
          <w:kern w:val="0"/>
          <w:sz w:val="32"/>
          <w:szCs w:val="32"/>
        </w:rPr>
        <w:t>。</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二、机关运行经费安排情况</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2022年本溪市溪湖区</w:t>
      </w:r>
      <w:r>
        <w:rPr>
          <w:rFonts w:hint="eastAsia" w:ascii="仿宋_GB2312" w:hAnsi="微软雅黑" w:eastAsia="仿宋_GB2312" w:cs="宋体"/>
          <w:color w:val="333333"/>
          <w:kern w:val="0"/>
          <w:sz w:val="32"/>
          <w:szCs w:val="32"/>
          <w:lang w:eastAsia="zh-CN"/>
        </w:rPr>
        <w:t>人民政府</w:t>
      </w:r>
      <w:r>
        <w:rPr>
          <w:rFonts w:hint="eastAsia" w:ascii="仿宋_GB2312" w:hAnsi="微软雅黑" w:eastAsia="仿宋_GB2312" w:cs="宋体"/>
          <w:color w:val="333333"/>
          <w:kern w:val="0"/>
          <w:sz w:val="32"/>
          <w:szCs w:val="32"/>
        </w:rPr>
        <w:t>河东街道办事处机关运行经费预算为</w:t>
      </w:r>
      <w:r>
        <w:rPr>
          <w:rFonts w:hint="eastAsia" w:ascii="仿宋_GB2312" w:hAnsi="微软雅黑" w:eastAsia="仿宋_GB2312" w:cs="宋体"/>
          <w:color w:val="333333"/>
          <w:kern w:val="0"/>
          <w:sz w:val="32"/>
          <w:szCs w:val="32"/>
          <w:lang w:val="en-US" w:eastAsia="zh-CN"/>
        </w:rPr>
        <w:t>36.25</w:t>
      </w:r>
      <w:r>
        <w:rPr>
          <w:rFonts w:hint="eastAsia" w:ascii="仿宋_GB2312" w:hAnsi="微软雅黑" w:eastAsia="仿宋_GB2312" w:cs="宋体"/>
          <w:color w:val="333333"/>
          <w:kern w:val="0"/>
          <w:sz w:val="32"/>
          <w:szCs w:val="32"/>
        </w:rPr>
        <w:t>万元，主要包括办公及印刷费、邮电费、差旅费、会议费、福利费、日常维修费、专用材料及一般设备购置费、办公用房水电费、办公用房取暖费、办公用房物业管理费、公务用车运行维护费以及其他费用。2022年预算比2021年减少</w:t>
      </w:r>
      <w:r>
        <w:rPr>
          <w:rFonts w:hint="eastAsia" w:ascii="仿宋_GB2312" w:hAnsi="微软雅黑" w:eastAsia="仿宋_GB2312" w:cs="宋体"/>
          <w:color w:val="333333"/>
          <w:kern w:val="0"/>
          <w:sz w:val="32"/>
          <w:szCs w:val="32"/>
          <w:lang w:val="en-US" w:eastAsia="zh-CN"/>
        </w:rPr>
        <w:t>455.95</w:t>
      </w:r>
      <w:r>
        <w:rPr>
          <w:rFonts w:hint="eastAsia" w:ascii="仿宋_GB2312" w:hAnsi="微软雅黑" w:eastAsia="仿宋_GB2312" w:cs="宋体"/>
          <w:color w:val="333333"/>
          <w:kern w:val="0"/>
          <w:sz w:val="32"/>
          <w:szCs w:val="32"/>
        </w:rPr>
        <w:t>万元，主要原因是</w:t>
      </w:r>
      <w:r>
        <w:rPr>
          <w:rFonts w:hint="eastAsia" w:ascii="仿宋_GB2312" w:hAnsi="微软雅黑" w:eastAsia="仿宋_GB2312" w:cs="宋体"/>
          <w:color w:val="333333"/>
          <w:kern w:val="0"/>
          <w:sz w:val="32"/>
          <w:szCs w:val="32"/>
          <w:lang w:eastAsia="zh-CN"/>
        </w:rPr>
        <w:t>办事处的所有社区工作者工资由民政局统一收发，账务处理不经办事处收发代办</w:t>
      </w:r>
      <w:r>
        <w:rPr>
          <w:rFonts w:hint="eastAsia" w:ascii="仿宋_GB2312" w:hAnsi="微软雅黑" w:eastAsia="仿宋_GB2312" w:cs="宋体"/>
          <w:color w:val="333333"/>
          <w:kern w:val="0"/>
          <w:sz w:val="32"/>
          <w:szCs w:val="32"/>
        </w:rPr>
        <w:t>。</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三、政府采购情况</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2022年本溪市溪湖区</w:t>
      </w:r>
      <w:r>
        <w:rPr>
          <w:rFonts w:hint="eastAsia" w:ascii="仿宋_GB2312" w:hAnsi="微软雅黑" w:eastAsia="仿宋_GB2312" w:cs="宋体"/>
          <w:color w:val="333333"/>
          <w:kern w:val="0"/>
          <w:sz w:val="32"/>
          <w:szCs w:val="32"/>
          <w:lang w:eastAsia="zh-CN"/>
        </w:rPr>
        <w:t>人民政府河东街道办事处</w:t>
      </w:r>
      <w:r>
        <w:rPr>
          <w:rFonts w:hint="eastAsia" w:ascii="仿宋_GB2312" w:hAnsi="微软雅黑" w:eastAsia="仿宋_GB2312" w:cs="宋体"/>
          <w:color w:val="333333"/>
          <w:kern w:val="0"/>
          <w:sz w:val="32"/>
          <w:szCs w:val="32"/>
        </w:rPr>
        <w:t>安排政府采购预算0万元，其中：政府采购货物支出0万元，政府购买服务支出0万元，政府采购工程支出0万元。</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四、“三公”经费预算情况</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2022年，本溪市溪湖区</w:t>
      </w:r>
      <w:r>
        <w:rPr>
          <w:rFonts w:hint="eastAsia" w:ascii="仿宋_GB2312" w:hAnsi="微软雅黑" w:eastAsia="仿宋_GB2312" w:cs="宋体"/>
          <w:color w:val="333333"/>
          <w:kern w:val="0"/>
          <w:sz w:val="32"/>
          <w:szCs w:val="32"/>
          <w:lang w:eastAsia="zh-CN"/>
        </w:rPr>
        <w:t>人民政府河东街道办事处</w:t>
      </w:r>
      <w:r>
        <w:rPr>
          <w:rFonts w:hint="eastAsia" w:ascii="仿宋_GB2312" w:hAnsi="微软雅黑" w:eastAsia="仿宋_GB2312" w:cs="宋体"/>
          <w:color w:val="333333"/>
          <w:kern w:val="0"/>
          <w:sz w:val="32"/>
          <w:szCs w:val="32"/>
        </w:rPr>
        <w:t>一般公共预算安排“三公”经费预算为</w:t>
      </w:r>
      <w:r>
        <w:rPr>
          <w:rFonts w:hint="eastAsia" w:ascii="仿宋_GB2312" w:hAnsi="微软雅黑" w:eastAsia="仿宋_GB2312" w:cs="宋体"/>
          <w:color w:val="333333"/>
          <w:kern w:val="0"/>
          <w:sz w:val="32"/>
          <w:szCs w:val="32"/>
          <w:lang w:val="en-US" w:eastAsia="zh-CN"/>
        </w:rPr>
        <w:t>2.1</w:t>
      </w:r>
      <w:r>
        <w:rPr>
          <w:rFonts w:hint="eastAsia" w:ascii="仿宋_GB2312" w:hAnsi="微软雅黑" w:eastAsia="仿宋_GB2312" w:cs="宋体"/>
          <w:color w:val="333333"/>
          <w:kern w:val="0"/>
          <w:sz w:val="32"/>
          <w:szCs w:val="32"/>
        </w:rPr>
        <w:t>万元，比2021年减少</w:t>
      </w:r>
      <w:r>
        <w:rPr>
          <w:rFonts w:hint="eastAsia" w:ascii="仿宋_GB2312" w:hAnsi="微软雅黑" w:eastAsia="仿宋_GB2312" w:cs="宋体"/>
          <w:color w:val="333333"/>
          <w:kern w:val="0"/>
          <w:sz w:val="32"/>
          <w:szCs w:val="32"/>
          <w:lang w:val="en-US" w:eastAsia="zh-CN"/>
        </w:rPr>
        <w:t>0.23</w:t>
      </w:r>
      <w:r>
        <w:rPr>
          <w:rFonts w:hint="eastAsia" w:ascii="仿宋_GB2312" w:hAnsi="微软雅黑" w:eastAsia="仿宋_GB2312" w:cs="宋体"/>
          <w:color w:val="333333"/>
          <w:kern w:val="0"/>
          <w:sz w:val="32"/>
          <w:szCs w:val="32"/>
        </w:rPr>
        <w:t>万元，下降</w:t>
      </w:r>
      <w:r>
        <w:rPr>
          <w:rFonts w:hint="eastAsia" w:ascii="仿宋_GB2312" w:hAnsi="微软雅黑" w:eastAsia="仿宋_GB2312" w:cs="宋体"/>
          <w:color w:val="333333"/>
          <w:kern w:val="0"/>
          <w:sz w:val="32"/>
          <w:szCs w:val="32"/>
          <w:lang w:val="en-US" w:eastAsia="zh-CN"/>
        </w:rPr>
        <w:t>0.10</w:t>
      </w:r>
      <w:r>
        <w:rPr>
          <w:rFonts w:hint="eastAsia" w:ascii="仿宋_GB2312" w:hAnsi="微软雅黑" w:eastAsia="仿宋_GB2312" w:cs="宋体"/>
          <w:color w:val="333333"/>
          <w:kern w:val="0"/>
          <w:sz w:val="32"/>
          <w:szCs w:val="32"/>
        </w:rPr>
        <w:t>%。其中：</w:t>
      </w:r>
    </w:p>
    <w:p>
      <w:pPr>
        <w:keepLines/>
        <w:widowControl/>
        <w:shd w:val="clear" w:color="auto" w:fill="FFFFFF"/>
        <w:ind w:firstLine="645"/>
        <w:jc w:val="left"/>
        <w:rPr>
          <w:rFonts w:hint="eastAsia" w:ascii="微软雅黑" w:hAnsi="微软雅黑" w:eastAsia="仿宋_GB2312" w:cs="宋体"/>
          <w:color w:val="333333"/>
          <w:kern w:val="0"/>
          <w:sz w:val="24"/>
          <w:szCs w:val="24"/>
          <w:lang w:eastAsia="zh-CN"/>
        </w:rPr>
      </w:pPr>
      <w:r>
        <w:rPr>
          <w:rFonts w:hint="eastAsia" w:ascii="仿宋_GB2312" w:hAnsi="微软雅黑" w:eastAsia="仿宋_GB2312" w:cs="宋体"/>
          <w:color w:val="333333"/>
          <w:kern w:val="0"/>
          <w:sz w:val="32"/>
          <w:szCs w:val="32"/>
        </w:rPr>
        <w:t>1.因公出国（境）费0万元</w:t>
      </w:r>
      <w:r>
        <w:rPr>
          <w:rFonts w:hint="eastAsia" w:ascii="仿宋_GB2312" w:hAnsi="微软雅黑" w:eastAsia="仿宋_GB2312" w:cs="宋体"/>
          <w:color w:val="333333"/>
          <w:kern w:val="0"/>
          <w:sz w:val="32"/>
          <w:szCs w:val="32"/>
          <w:lang w:eastAsia="zh-CN"/>
        </w:rPr>
        <w:t>。</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2.公务接待费0万元，比2021年减少0万元。</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3.公务用车购置及运行费</w:t>
      </w:r>
      <w:r>
        <w:rPr>
          <w:rFonts w:hint="eastAsia" w:ascii="仿宋_GB2312" w:hAnsi="微软雅黑" w:eastAsia="仿宋_GB2312" w:cs="宋体"/>
          <w:color w:val="333333"/>
          <w:kern w:val="0"/>
          <w:sz w:val="32"/>
          <w:szCs w:val="32"/>
          <w:lang w:val="en-US" w:eastAsia="zh-CN"/>
        </w:rPr>
        <w:t>2.1</w:t>
      </w:r>
      <w:r>
        <w:rPr>
          <w:rFonts w:hint="eastAsia" w:ascii="仿宋_GB2312" w:hAnsi="微软雅黑" w:eastAsia="仿宋_GB2312" w:cs="宋体"/>
          <w:color w:val="333333"/>
          <w:kern w:val="0"/>
          <w:sz w:val="32"/>
          <w:szCs w:val="32"/>
        </w:rPr>
        <w:t>万元，比2021年减少</w:t>
      </w:r>
      <w:r>
        <w:rPr>
          <w:rFonts w:hint="eastAsia" w:ascii="仿宋_GB2312" w:hAnsi="微软雅黑" w:eastAsia="仿宋_GB2312" w:cs="宋体"/>
          <w:color w:val="333333"/>
          <w:kern w:val="0"/>
          <w:sz w:val="32"/>
          <w:szCs w:val="32"/>
          <w:lang w:val="en-US" w:eastAsia="zh-CN"/>
        </w:rPr>
        <w:t>0.23</w:t>
      </w:r>
      <w:r>
        <w:rPr>
          <w:rFonts w:hint="eastAsia" w:ascii="仿宋_GB2312" w:hAnsi="微软雅黑" w:eastAsia="仿宋_GB2312" w:cs="宋体"/>
          <w:color w:val="333333"/>
          <w:kern w:val="0"/>
          <w:sz w:val="32"/>
          <w:szCs w:val="32"/>
        </w:rPr>
        <w:t>万元，主要原因是</w:t>
      </w:r>
      <w:r>
        <w:rPr>
          <w:rFonts w:hint="eastAsia" w:ascii="仿宋_GB2312" w:hAnsi="微软雅黑" w:eastAsia="仿宋_GB2312" w:cs="宋体"/>
          <w:color w:val="333333"/>
          <w:kern w:val="0"/>
          <w:sz w:val="32"/>
          <w:szCs w:val="32"/>
          <w:lang w:eastAsia="zh-CN"/>
        </w:rPr>
        <w:t>公务接待费减少</w:t>
      </w:r>
      <w:r>
        <w:rPr>
          <w:rFonts w:hint="eastAsia" w:ascii="仿宋_GB2312" w:hAnsi="微软雅黑" w:eastAsia="仿宋_GB2312" w:cs="宋体"/>
          <w:color w:val="333333"/>
          <w:kern w:val="0"/>
          <w:sz w:val="32"/>
          <w:szCs w:val="32"/>
        </w:rPr>
        <w:t>。</w:t>
      </w:r>
    </w:p>
    <w:p>
      <w:pPr>
        <w:keepLines/>
        <w:widowControl/>
        <w:shd w:val="clear" w:color="auto" w:fill="FFFFFF"/>
        <w:jc w:val="center"/>
        <w:rPr>
          <w:rFonts w:ascii="微软雅黑" w:hAnsi="微软雅黑" w:eastAsia="微软雅黑" w:cs="宋体"/>
          <w:color w:val="333333"/>
          <w:kern w:val="0"/>
          <w:sz w:val="24"/>
          <w:szCs w:val="24"/>
        </w:rPr>
      </w:pPr>
      <w:r>
        <w:rPr>
          <w:rFonts w:hint="eastAsia" w:ascii="仿宋_GB2312" w:hAnsi="微软雅黑" w:eastAsia="仿宋_GB2312" w:cs="宋体"/>
          <w:b/>
          <w:bCs/>
          <w:color w:val="333333"/>
          <w:kern w:val="0"/>
          <w:sz w:val="32"/>
          <w:szCs w:val="32"/>
        </w:rPr>
        <w:t>2022年本溪市溪湖区部门名称“三公”经费预算表</w:t>
      </w:r>
    </w:p>
    <w:p>
      <w:pPr>
        <w:keepLines/>
        <w:widowControl/>
        <w:shd w:val="clear" w:color="auto" w:fill="FFFFFF"/>
        <w:jc w:val="center"/>
        <w:rPr>
          <w:rFonts w:ascii="微软雅黑" w:hAnsi="微软雅黑" w:eastAsia="微软雅黑" w:cs="宋体"/>
          <w:color w:val="333333"/>
          <w:kern w:val="0"/>
          <w:sz w:val="24"/>
          <w:szCs w:val="24"/>
        </w:rPr>
      </w:pPr>
      <w:r>
        <w:rPr>
          <w:rFonts w:hint="eastAsia" w:ascii="仿宋_GB2312" w:hAnsi="微软雅黑" w:eastAsia="仿宋_GB2312" w:cs="宋体"/>
          <w:b/>
          <w:bCs/>
          <w:color w:val="333333"/>
          <w:kern w:val="0"/>
          <w:sz w:val="29"/>
          <w:szCs w:val="29"/>
        </w:rPr>
        <w:t>单位：万元</w:t>
      </w:r>
    </w:p>
    <w:tbl>
      <w:tblPr>
        <w:tblStyle w:val="5"/>
        <w:tblW w:w="8625" w:type="dxa"/>
        <w:tblInd w:w="0" w:type="dxa"/>
        <w:tblLayout w:type="autofit"/>
        <w:tblCellMar>
          <w:top w:w="0" w:type="dxa"/>
          <w:left w:w="0" w:type="dxa"/>
          <w:bottom w:w="0" w:type="dxa"/>
          <w:right w:w="0" w:type="dxa"/>
        </w:tblCellMar>
      </w:tblPr>
      <w:tblGrid>
        <w:gridCol w:w="4125"/>
        <w:gridCol w:w="2145"/>
        <w:gridCol w:w="2355"/>
      </w:tblGrid>
      <w:tr>
        <w:tblPrEx>
          <w:tblCellMar>
            <w:top w:w="0" w:type="dxa"/>
            <w:left w:w="0" w:type="dxa"/>
            <w:bottom w:w="0" w:type="dxa"/>
            <w:right w:w="0" w:type="dxa"/>
          </w:tblCellMar>
        </w:tblPrEx>
        <w:trPr>
          <w:trHeight w:val="480" w:hRule="atLeast"/>
        </w:trPr>
        <w:tc>
          <w:tcPr>
            <w:tcW w:w="4125" w:type="dxa"/>
            <w:vMerge w:val="restart"/>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keepLines/>
              <w:widowControl/>
              <w:jc w:val="center"/>
              <w:textAlignment w:val="center"/>
              <w:rPr>
                <w:rFonts w:ascii="宋体" w:hAnsi="宋体" w:eastAsia="宋体" w:cs="宋体"/>
                <w:kern w:val="0"/>
                <w:sz w:val="24"/>
                <w:szCs w:val="24"/>
              </w:rPr>
            </w:pPr>
            <w:r>
              <w:rPr>
                <w:rFonts w:hint="eastAsia" w:ascii="宋体" w:hAnsi="宋体" w:eastAsia="宋体" w:cs="宋体"/>
                <w:b/>
                <w:bCs/>
                <w:kern w:val="0"/>
                <w:sz w:val="24"/>
                <w:szCs w:val="24"/>
              </w:rPr>
              <w:t>项目</w:t>
            </w:r>
          </w:p>
        </w:tc>
        <w:tc>
          <w:tcPr>
            <w:tcW w:w="4500" w:type="dxa"/>
            <w:gridSpan w:val="2"/>
            <w:tcBorders>
              <w:top w:val="single" w:color="000000" w:sz="6" w:space="0"/>
              <w:left w:val="nil"/>
              <w:bottom w:val="single" w:color="DDDDDD" w:sz="6" w:space="0"/>
              <w:right w:val="single" w:color="000000" w:sz="6" w:space="0"/>
            </w:tcBorders>
            <w:tcMar>
              <w:top w:w="15" w:type="dxa"/>
              <w:left w:w="15" w:type="dxa"/>
              <w:bottom w:w="15" w:type="dxa"/>
              <w:right w:w="15" w:type="dxa"/>
            </w:tcMar>
            <w:vAlign w:val="center"/>
          </w:tcPr>
          <w:p>
            <w:pPr>
              <w:keepLines/>
              <w:widowControl/>
              <w:jc w:val="center"/>
              <w:rPr>
                <w:rFonts w:ascii="宋体" w:hAnsi="宋体" w:eastAsia="宋体" w:cs="宋体"/>
                <w:kern w:val="0"/>
                <w:sz w:val="24"/>
                <w:szCs w:val="24"/>
              </w:rPr>
            </w:pPr>
            <w:r>
              <w:rPr>
                <w:rFonts w:hint="eastAsia" w:ascii="宋体" w:hAnsi="宋体" w:eastAsia="宋体" w:cs="宋体"/>
                <w:b/>
                <w:bCs/>
                <w:kern w:val="0"/>
                <w:sz w:val="24"/>
                <w:szCs w:val="24"/>
              </w:rPr>
              <w:t>金额</w:t>
            </w:r>
          </w:p>
        </w:tc>
      </w:tr>
      <w:tr>
        <w:tblPrEx>
          <w:tblCellMar>
            <w:top w:w="0" w:type="dxa"/>
            <w:left w:w="0" w:type="dxa"/>
            <w:bottom w:w="0" w:type="dxa"/>
            <w:right w:w="0" w:type="dxa"/>
          </w:tblCellMar>
        </w:tblPrEx>
        <w:trPr>
          <w:trHeight w:val="510" w:hRule="atLeast"/>
        </w:trPr>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keepLines/>
              <w:widowControl/>
              <w:jc w:val="left"/>
              <w:rPr>
                <w:rFonts w:ascii="宋体" w:hAnsi="宋体" w:eastAsia="宋体" w:cs="宋体"/>
                <w:kern w:val="0"/>
                <w:sz w:val="24"/>
                <w:szCs w:val="24"/>
              </w:rPr>
            </w:pPr>
          </w:p>
        </w:tc>
        <w:tc>
          <w:tcPr>
            <w:tcW w:w="2145" w:type="dxa"/>
            <w:tcBorders>
              <w:top w:val="single" w:color="000000" w:sz="6" w:space="0"/>
              <w:left w:val="nil"/>
              <w:bottom w:val="single" w:color="000000" w:sz="6" w:space="0"/>
              <w:right w:val="single" w:color="000000" w:sz="6" w:space="0"/>
            </w:tcBorders>
            <w:tcMar>
              <w:top w:w="15" w:type="dxa"/>
              <w:left w:w="15" w:type="dxa"/>
              <w:bottom w:w="15" w:type="dxa"/>
              <w:right w:w="15" w:type="dxa"/>
            </w:tcMar>
            <w:vAlign w:val="center"/>
          </w:tcPr>
          <w:p>
            <w:pPr>
              <w:keepLines/>
              <w:widowControl/>
              <w:jc w:val="center"/>
              <w:textAlignment w:val="center"/>
              <w:rPr>
                <w:rFonts w:ascii="宋体" w:hAnsi="宋体" w:eastAsia="宋体" w:cs="宋体"/>
                <w:kern w:val="0"/>
                <w:sz w:val="24"/>
                <w:szCs w:val="24"/>
              </w:rPr>
            </w:pPr>
            <w:r>
              <w:rPr>
                <w:rFonts w:hint="eastAsia" w:ascii="宋体" w:hAnsi="宋体" w:eastAsia="宋体" w:cs="宋体"/>
                <w:b/>
                <w:bCs/>
                <w:kern w:val="0"/>
                <w:sz w:val="24"/>
                <w:szCs w:val="24"/>
              </w:rPr>
              <w:t>2021年</w:t>
            </w:r>
          </w:p>
        </w:tc>
        <w:tc>
          <w:tcPr>
            <w:tcW w:w="2355" w:type="dxa"/>
            <w:tcBorders>
              <w:top w:val="single" w:color="000000" w:sz="6" w:space="0"/>
              <w:left w:val="nil"/>
              <w:bottom w:val="single" w:color="000000" w:sz="6" w:space="0"/>
              <w:right w:val="single" w:color="000000" w:sz="6" w:space="0"/>
            </w:tcBorders>
            <w:tcMar>
              <w:top w:w="15" w:type="dxa"/>
              <w:left w:w="15" w:type="dxa"/>
              <w:bottom w:w="15" w:type="dxa"/>
              <w:right w:w="15" w:type="dxa"/>
            </w:tcMar>
            <w:vAlign w:val="center"/>
          </w:tcPr>
          <w:p>
            <w:pPr>
              <w:keepLines/>
              <w:widowControl/>
              <w:jc w:val="center"/>
              <w:textAlignment w:val="center"/>
              <w:rPr>
                <w:rFonts w:ascii="宋体" w:hAnsi="宋体" w:eastAsia="宋体" w:cs="宋体"/>
                <w:kern w:val="0"/>
                <w:sz w:val="24"/>
                <w:szCs w:val="24"/>
              </w:rPr>
            </w:pPr>
            <w:r>
              <w:rPr>
                <w:rFonts w:hint="eastAsia" w:ascii="宋体" w:hAnsi="宋体" w:eastAsia="宋体" w:cs="宋体"/>
                <w:b/>
                <w:bCs/>
                <w:kern w:val="0"/>
                <w:sz w:val="24"/>
                <w:szCs w:val="24"/>
              </w:rPr>
              <w:t>2022年</w:t>
            </w:r>
          </w:p>
        </w:tc>
      </w:tr>
      <w:tr>
        <w:tblPrEx>
          <w:tblCellMar>
            <w:top w:w="0" w:type="dxa"/>
            <w:left w:w="0" w:type="dxa"/>
            <w:bottom w:w="0" w:type="dxa"/>
            <w:right w:w="0" w:type="dxa"/>
          </w:tblCellMar>
        </w:tblPrEx>
        <w:trPr>
          <w:trHeight w:val="540" w:hRule="atLeast"/>
        </w:trPr>
        <w:tc>
          <w:tcPr>
            <w:tcW w:w="4125" w:type="dxa"/>
            <w:tcBorders>
              <w:top w:val="nil"/>
              <w:left w:val="single" w:color="000000" w:sz="6" w:space="0"/>
              <w:bottom w:val="single" w:color="000000" w:sz="6" w:space="0"/>
              <w:right w:val="single" w:color="000000" w:sz="6" w:space="0"/>
            </w:tcBorders>
            <w:tcMar>
              <w:top w:w="15" w:type="dxa"/>
              <w:left w:w="15" w:type="dxa"/>
              <w:bottom w:w="15" w:type="dxa"/>
              <w:right w:w="15" w:type="dxa"/>
            </w:tcMar>
            <w:vAlign w:val="center"/>
          </w:tcPr>
          <w:p>
            <w:pPr>
              <w:keepLines/>
              <w:widowControl/>
              <w:jc w:val="center"/>
              <w:textAlignment w:val="center"/>
              <w:rPr>
                <w:rFonts w:ascii="宋体" w:hAnsi="宋体" w:eastAsia="宋体" w:cs="宋体"/>
                <w:kern w:val="0"/>
                <w:sz w:val="24"/>
                <w:szCs w:val="24"/>
              </w:rPr>
            </w:pPr>
            <w:r>
              <w:rPr>
                <w:rFonts w:hint="eastAsia" w:ascii="宋体" w:hAnsi="宋体" w:eastAsia="宋体" w:cs="宋体"/>
                <w:b/>
                <w:bCs/>
                <w:kern w:val="0"/>
                <w:sz w:val="24"/>
                <w:szCs w:val="24"/>
              </w:rPr>
              <w:t>合计</w:t>
            </w:r>
          </w:p>
        </w:tc>
        <w:tc>
          <w:tcPr>
            <w:tcW w:w="2145" w:type="dxa"/>
            <w:tcBorders>
              <w:top w:val="nil"/>
              <w:left w:val="nil"/>
              <w:bottom w:val="single" w:color="DDDDDD" w:sz="6" w:space="0"/>
              <w:right w:val="single" w:color="000000" w:sz="6" w:space="0"/>
            </w:tcBorders>
            <w:tcMar>
              <w:top w:w="15" w:type="dxa"/>
              <w:left w:w="15" w:type="dxa"/>
              <w:bottom w:w="15" w:type="dxa"/>
              <w:right w:w="15" w:type="dxa"/>
            </w:tcMar>
            <w:vAlign w:val="center"/>
          </w:tcPr>
          <w:p>
            <w:pPr>
              <w:keepLines/>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2.33</w:t>
            </w:r>
          </w:p>
        </w:tc>
        <w:tc>
          <w:tcPr>
            <w:tcW w:w="2355" w:type="dxa"/>
            <w:tcBorders>
              <w:top w:val="nil"/>
              <w:left w:val="nil"/>
              <w:bottom w:val="single" w:color="DDDDDD" w:sz="6" w:space="0"/>
              <w:right w:val="single" w:color="000000" w:sz="6" w:space="0"/>
            </w:tcBorders>
            <w:tcMar>
              <w:top w:w="15" w:type="dxa"/>
              <w:left w:w="15" w:type="dxa"/>
              <w:bottom w:w="15" w:type="dxa"/>
              <w:right w:w="15" w:type="dxa"/>
            </w:tcMar>
            <w:vAlign w:val="center"/>
          </w:tcPr>
          <w:p>
            <w:pPr>
              <w:keepLines/>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2.10</w:t>
            </w:r>
          </w:p>
        </w:tc>
      </w:tr>
      <w:tr>
        <w:tblPrEx>
          <w:tblCellMar>
            <w:top w:w="0" w:type="dxa"/>
            <w:left w:w="0" w:type="dxa"/>
            <w:bottom w:w="0" w:type="dxa"/>
            <w:right w:w="0" w:type="dxa"/>
          </w:tblCellMar>
        </w:tblPrEx>
        <w:trPr>
          <w:trHeight w:val="540" w:hRule="atLeast"/>
        </w:trPr>
        <w:tc>
          <w:tcPr>
            <w:tcW w:w="4125" w:type="dxa"/>
            <w:tcBorders>
              <w:top w:val="nil"/>
              <w:left w:val="single" w:color="000000" w:sz="6" w:space="0"/>
              <w:bottom w:val="single" w:color="000000" w:sz="6" w:space="0"/>
              <w:right w:val="single" w:color="DDDDDD" w:sz="6" w:space="0"/>
            </w:tcBorders>
            <w:tcMar>
              <w:top w:w="15" w:type="dxa"/>
              <w:left w:w="15" w:type="dxa"/>
              <w:bottom w:w="15" w:type="dxa"/>
              <w:right w:w="15" w:type="dxa"/>
            </w:tcMar>
            <w:vAlign w:val="center"/>
          </w:tcPr>
          <w:p>
            <w:pPr>
              <w:keepLines/>
              <w:widowControl/>
              <w:jc w:val="left"/>
              <w:textAlignment w:val="center"/>
              <w:rPr>
                <w:rFonts w:ascii="宋体" w:hAnsi="宋体" w:eastAsia="宋体" w:cs="宋体"/>
                <w:kern w:val="0"/>
                <w:sz w:val="24"/>
                <w:szCs w:val="24"/>
              </w:rPr>
            </w:pPr>
            <w:r>
              <w:rPr>
                <w:rFonts w:hint="eastAsia" w:ascii="宋体" w:hAnsi="宋体" w:eastAsia="宋体" w:cs="宋体"/>
                <w:kern w:val="0"/>
                <w:sz w:val="24"/>
                <w:szCs w:val="24"/>
              </w:rPr>
              <w:t>1、因公出国（境）费</w:t>
            </w:r>
          </w:p>
        </w:tc>
        <w:tc>
          <w:tcPr>
            <w:tcW w:w="2145" w:type="dxa"/>
            <w:tcBorders>
              <w:top w:val="single" w:color="000000" w:sz="6" w:space="0"/>
              <w:left w:val="single" w:color="000000" w:sz="6" w:space="0"/>
              <w:bottom w:val="single" w:color="DDDDDD" w:sz="6" w:space="0"/>
              <w:right w:val="single" w:color="DDDDDD" w:sz="6" w:space="0"/>
            </w:tcBorders>
            <w:tcMar>
              <w:top w:w="15" w:type="dxa"/>
              <w:left w:w="15" w:type="dxa"/>
              <w:bottom w:w="15" w:type="dxa"/>
              <w:right w:w="15" w:type="dxa"/>
            </w:tcMar>
            <w:vAlign w:val="center"/>
          </w:tcPr>
          <w:p>
            <w:pPr>
              <w:keepLines/>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0.00</w:t>
            </w:r>
          </w:p>
        </w:tc>
        <w:tc>
          <w:tcPr>
            <w:tcW w:w="2355"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keepLines/>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0.00</w:t>
            </w:r>
          </w:p>
        </w:tc>
      </w:tr>
      <w:tr>
        <w:tblPrEx>
          <w:tblCellMar>
            <w:top w:w="0" w:type="dxa"/>
            <w:left w:w="0" w:type="dxa"/>
            <w:bottom w:w="0" w:type="dxa"/>
            <w:right w:w="0" w:type="dxa"/>
          </w:tblCellMar>
        </w:tblPrEx>
        <w:trPr>
          <w:trHeight w:val="540" w:hRule="atLeast"/>
        </w:trPr>
        <w:tc>
          <w:tcPr>
            <w:tcW w:w="4125" w:type="dxa"/>
            <w:tcBorders>
              <w:top w:val="nil"/>
              <w:left w:val="single" w:color="000000" w:sz="6" w:space="0"/>
              <w:bottom w:val="single" w:color="000000" w:sz="6" w:space="0"/>
              <w:right w:val="single" w:color="DDDDDD" w:sz="6" w:space="0"/>
            </w:tcBorders>
            <w:tcMar>
              <w:top w:w="15" w:type="dxa"/>
              <w:left w:w="15" w:type="dxa"/>
              <w:bottom w:w="15" w:type="dxa"/>
              <w:right w:w="15" w:type="dxa"/>
            </w:tcMar>
            <w:vAlign w:val="center"/>
          </w:tcPr>
          <w:p>
            <w:pPr>
              <w:keepLines/>
              <w:widowControl/>
              <w:jc w:val="left"/>
              <w:textAlignment w:val="center"/>
              <w:rPr>
                <w:rFonts w:ascii="宋体" w:hAnsi="宋体" w:eastAsia="宋体" w:cs="宋体"/>
                <w:kern w:val="0"/>
                <w:sz w:val="24"/>
                <w:szCs w:val="24"/>
              </w:rPr>
            </w:pPr>
            <w:r>
              <w:rPr>
                <w:rFonts w:hint="eastAsia" w:ascii="宋体" w:hAnsi="宋体" w:eastAsia="宋体" w:cs="宋体"/>
                <w:kern w:val="0"/>
                <w:sz w:val="24"/>
                <w:szCs w:val="24"/>
              </w:rPr>
              <w:t>2、公务接待费</w:t>
            </w:r>
          </w:p>
        </w:tc>
        <w:tc>
          <w:tcPr>
            <w:tcW w:w="2145" w:type="dxa"/>
            <w:tcBorders>
              <w:top w:val="single" w:color="000000" w:sz="6" w:space="0"/>
              <w:left w:val="single" w:color="000000" w:sz="6" w:space="0"/>
              <w:bottom w:val="single" w:color="000000" w:sz="6" w:space="0"/>
              <w:right w:val="single" w:color="DDDDDD" w:sz="6" w:space="0"/>
            </w:tcBorders>
            <w:tcMar>
              <w:top w:w="15" w:type="dxa"/>
              <w:left w:w="15" w:type="dxa"/>
              <w:bottom w:w="15" w:type="dxa"/>
              <w:right w:w="15" w:type="dxa"/>
            </w:tcMar>
            <w:vAlign w:val="center"/>
          </w:tcPr>
          <w:p>
            <w:pPr>
              <w:keepLines/>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0.20</w:t>
            </w:r>
          </w:p>
        </w:tc>
        <w:tc>
          <w:tcPr>
            <w:tcW w:w="2355" w:type="dxa"/>
            <w:tcBorders>
              <w:top w:val="single" w:color="DDDDDD"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keepLines/>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0.00</w:t>
            </w:r>
          </w:p>
        </w:tc>
      </w:tr>
      <w:tr>
        <w:tblPrEx>
          <w:tblCellMar>
            <w:top w:w="0" w:type="dxa"/>
            <w:left w:w="0" w:type="dxa"/>
            <w:bottom w:w="0" w:type="dxa"/>
            <w:right w:w="0" w:type="dxa"/>
          </w:tblCellMar>
        </w:tblPrEx>
        <w:trPr>
          <w:trHeight w:val="540" w:hRule="atLeast"/>
        </w:trPr>
        <w:tc>
          <w:tcPr>
            <w:tcW w:w="4125" w:type="dxa"/>
            <w:tcBorders>
              <w:top w:val="nil"/>
              <w:left w:val="single" w:color="000000" w:sz="6" w:space="0"/>
              <w:bottom w:val="single" w:color="000000" w:sz="6" w:space="0"/>
              <w:right w:val="single" w:color="DDDDDD" w:sz="6" w:space="0"/>
            </w:tcBorders>
            <w:tcMar>
              <w:top w:w="15" w:type="dxa"/>
              <w:left w:w="15" w:type="dxa"/>
              <w:bottom w:w="15" w:type="dxa"/>
              <w:right w:w="15" w:type="dxa"/>
            </w:tcMar>
            <w:vAlign w:val="center"/>
          </w:tcPr>
          <w:p>
            <w:pPr>
              <w:keepLines/>
              <w:widowControl/>
              <w:jc w:val="left"/>
              <w:textAlignment w:val="center"/>
              <w:rPr>
                <w:rFonts w:ascii="宋体" w:hAnsi="宋体" w:eastAsia="宋体" w:cs="宋体"/>
                <w:kern w:val="0"/>
                <w:sz w:val="24"/>
                <w:szCs w:val="24"/>
              </w:rPr>
            </w:pPr>
            <w:r>
              <w:rPr>
                <w:rFonts w:hint="eastAsia" w:ascii="宋体" w:hAnsi="宋体" w:eastAsia="宋体" w:cs="宋体"/>
                <w:kern w:val="0"/>
                <w:sz w:val="24"/>
                <w:szCs w:val="24"/>
              </w:rPr>
              <w:t>3、公务用车购置及运行费</w:t>
            </w:r>
          </w:p>
        </w:tc>
        <w:tc>
          <w:tcPr>
            <w:tcW w:w="2145" w:type="dxa"/>
            <w:tcBorders>
              <w:top w:val="single" w:color="DDDDDD" w:sz="6" w:space="0"/>
              <w:left w:val="single" w:color="000000" w:sz="6" w:space="0"/>
              <w:bottom w:val="single" w:color="DDDDDD" w:sz="6" w:space="0"/>
              <w:right w:val="single" w:color="DDDDDD" w:sz="6" w:space="0"/>
            </w:tcBorders>
            <w:tcMar>
              <w:top w:w="15" w:type="dxa"/>
              <w:left w:w="15" w:type="dxa"/>
              <w:bottom w:w="15" w:type="dxa"/>
              <w:right w:w="15" w:type="dxa"/>
            </w:tcMar>
            <w:vAlign w:val="center"/>
          </w:tcPr>
          <w:p>
            <w:pPr>
              <w:keepLines/>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2.10</w:t>
            </w:r>
          </w:p>
        </w:tc>
        <w:tc>
          <w:tcPr>
            <w:tcW w:w="2355" w:type="dxa"/>
            <w:tcBorders>
              <w:top w:val="single" w:color="DDDDDD" w:sz="6" w:space="0"/>
              <w:left w:val="single" w:color="000000" w:sz="6" w:space="0"/>
              <w:bottom w:val="single" w:color="DDDDDD" w:sz="6" w:space="0"/>
              <w:right w:val="single" w:color="000000" w:sz="6" w:space="0"/>
            </w:tcBorders>
            <w:tcMar>
              <w:top w:w="15" w:type="dxa"/>
              <w:left w:w="15" w:type="dxa"/>
              <w:bottom w:w="15" w:type="dxa"/>
              <w:right w:w="15" w:type="dxa"/>
            </w:tcMar>
            <w:vAlign w:val="center"/>
          </w:tcPr>
          <w:p>
            <w:pPr>
              <w:keepLines/>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2.10</w:t>
            </w:r>
          </w:p>
        </w:tc>
      </w:tr>
      <w:tr>
        <w:tblPrEx>
          <w:tblCellMar>
            <w:top w:w="0" w:type="dxa"/>
            <w:left w:w="0" w:type="dxa"/>
            <w:bottom w:w="0" w:type="dxa"/>
            <w:right w:w="0" w:type="dxa"/>
          </w:tblCellMar>
        </w:tblPrEx>
        <w:trPr>
          <w:trHeight w:val="540" w:hRule="atLeast"/>
        </w:trPr>
        <w:tc>
          <w:tcPr>
            <w:tcW w:w="4125" w:type="dxa"/>
            <w:tcBorders>
              <w:top w:val="nil"/>
              <w:left w:val="single" w:color="000000" w:sz="6" w:space="0"/>
              <w:bottom w:val="single" w:color="000000" w:sz="6" w:space="0"/>
              <w:right w:val="single" w:color="DDDDDD" w:sz="6" w:space="0"/>
            </w:tcBorders>
            <w:tcMar>
              <w:top w:w="15" w:type="dxa"/>
              <w:left w:w="15" w:type="dxa"/>
              <w:bottom w:w="15" w:type="dxa"/>
              <w:right w:w="15" w:type="dxa"/>
            </w:tcMar>
            <w:vAlign w:val="center"/>
          </w:tcPr>
          <w:p>
            <w:pPr>
              <w:keepLines/>
              <w:widowControl/>
              <w:jc w:val="left"/>
              <w:textAlignment w:val="center"/>
              <w:rPr>
                <w:rFonts w:ascii="宋体" w:hAnsi="宋体" w:eastAsia="宋体" w:cs="宋体"/>
                <w:kern w:val="0"/>
                <w:sz w:val="24"/>
                <w:szCs w:val="24"/>
              </w:rPr>
            </w:pPr>
            <w:r>
              <w:rPr>
                <w:rFonts w:hint="eastAsia" w:ascii="宋体" w:hAnsi="宋体" w:eastAsia="宋体" w:cs="宋体"/>
                <w:kern w:val="0"/>
                <w:sz w:val="24"/>
                <w:szCs w:val="24"/>
              </w:rPr>
              <w:t>其中：公务用车购置</w:t>
            </w:r>
          </w:p>
        </w:tc>
        <w:tc>
          <w:tcPr>
            <w:tcW w:w="2145" w:type="dxa"/>
            <w:tcBorders>
              <w:top w:val="single" w:color="000000" w:sz="6" w:space="0"/>
              <w:left w:val="single" w:color="000000" w:sz="6" w:space="0"/>
              <w:bottom w:val="single" w:color="DDDDDD" w:sz="6" w:space="0"/>
              <w:right w:val="single" w:color="DDDDDD" w:sz="6" w:space="0"/>
            </w:tcBorders>
            <w:tcMar>
              <w:top w:w="15" w:type="dxa"/>
              <w:left w:w="15" w:type="dxa"/>
              <w:bottom w:w="15" w:type="dxa"/>
              <w:right w:w="15" w:type="dxa"/>
            </w:tcMar>
            <w:vAlign w:val="center"/>
          </w:tcPr>
          <w:p>
            <w:pPr>
              <w:keepLines/>
              <w:widowControl/>
              <w:jc w:val="center"/>
              <w:rPr>
                <w:rFonts w:ascii="宋体" w:hAnsi="宋体" w:eastAsia="宋体" w:cs="宋体"/>
                <w:kern w:val="0"/>
                <w:sz w:val="24"/>
                <w:szCs w:val="24"/>
              </w:rPr>
            </w:pPr>
          </w:p>
        </w:tc>
        <w:tc>
          <w:tcPr>
            <w:tcW w:w="2355"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keepLines/>
              <w:widowControl/>
              <w:jc w:val="center"/>
              <w:rPr>
                <w:rFonts w:ascii="宋体" w:hAnsi="宋体" w:eastAsia="宋体" w:cs="宋体"/>
                <w:kern w:val="0"/>
                <w:sz w:val="24"/>
                <w:szCs w:val="24"/>
              </w:rPr>
            </w:pPr>
          </w:p>
        </w:tc>
      </w:tr>
      <w:tr>
        <w:tblPrEx>
          <w:tblCellMar>
            <w:top w:w="0" w:type="dxa"/>
            <w:left w:w="0" w:type="dxa"/>
            <w:bottom w:w="0" w:type="dxa"/>
            <w:right w:w="0" w:type="dxa"/>
          </w:tblCellMar>
        </w:tblPrEx>
        <w:trPr>
          <w:trHeight w:val="540" w:hRule="atLeast"/>
        </w:trPr>
        <w:tc>
          <w:tcPr>
            <w:tcW w:w="4125" w:type="dxa"/>
            <w:tcBorders>
              <w:top w:val="nil"/>
              <w:left w:val="single" w:color="000000" w:sz="6" w:space="0"/>
              <w:bottom w:val="single" w:color="000000" w:sz="6" w:space="0"/>
              <w:right w:val="single" w:color="DDDDDD" w:sz="6" w:space="0"/>
            </w:tcBorders>
            <w:tcMar>
              <w:top w:w="15" w:type="dxa"/>
              <w:left w:w="15" w:type="dxa"/>
              <w:bottom w:w="15" w:type="dxa"/>
              <w:right w:w="15" w:type="dxa"/>
            </w:tcMar>
            <w:vAlign w:val="center"/>
          </w:tcPr>
          <w:p>
            <w:pPr>
              <w:keepLines/>
              <w:widowControl/>
              <w:jc w:val="left"/>
              <w:textAlignment w:val="center"/>
              <w:rPr>
                <w:rFonts w:ascii="宋体" w:hAnsi="宋体" w:eastAsia="宋体" w:cs="宋体"/>
                <w:kern w:val="0"/>
                <w:sz w:val="24"/>
                <w:szCs w:val="24"/>
              </w:rPr>
            </w:pPr>
            <w:r>
              <w:rPr>
                <w:rFonts w:hint="eastAsia" w:ascii="宋体" w:hAnsi="宋体" w:eastAsia="宋体" w:cs="宋体"/>
                <w:kern w:val="0"/>
                <w:sz w:val="24"/>
                <w:szCs w:val="24"/>
              </w:rPr>
              <w:t>公务用车运行费</w:t>
            </w:r>
          </w:p>
        </w:tc>
        <w:tc>
          <w:tcPr>
            <w:tcW w:w="2145" w:type="dxa"/>
            <w:tcBorders>
              <w:top w:val="single" w:color="000000" w:sz="6" w:space="0"/>
              <w:left w:val="single" w:color="000000" w:sz="6" w:space="0"/>
              <w:bottom w:val="single" w:color="000000" w:sz="6" w:space="0"/>
              <w:right w:val="single" w:color="DDDDDD" w:sz="6" w:space="0"/>
            </w:tcBorders>
            <w:tcMar>
              <w:top w:w="15" w:type="dxa"/>
              <w:left w:w="15" w:type="dxa"/>
              <w:bottom w:w="15" w:type="dxa"/>
              <w:right w:w="15" w:type="dxa"/>
            </w:tcMar>
            <w:vAlign w:val="center"/>
          </w:tcPr>
          <w:p>
            <w:pPr>
              <w:keepLines/>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2.10</w:t>
            </w:r>
          </w:p>
        </w:tc>
        <w:tc>
          <w:tcPr>
            <w:tcW w:w="2355" w:type="dxa"/>
            <w:tcBorders>
              <w:top w:val="single" w:color="DDDDDD"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keepLines/>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2.10</w:t>
            </w:r>
          </w:p>
        </w:tc>
      </w:tr>
    </w:tbl>
    <w:p>
      <w:pPr>
        <w:keepLines/>
        <w:widowControl/>
        <w:shd w:val="clear" w:color="auto" w:fill="FFFFFF"/>
        <w:jc w:val="left"/>
        <w:rPr>
          <w:rFonts w:ascii="微软雅黑" w:hAnsi="微软雅黑" w:eastAsia="微软雅黑" w:cs="宋体"/>
          <w:color w:val="333333"/>
          <w:kern w:val="0"/>
          <w:sz w:val="24"/>
          <w:szCs w:val="24"/>
        </w:rPr>
      </w:pP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五、国有资产占用情况</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宋体" w:eastAsia="仿宋_GB2312"/>
          <w:sz w:val="32"/>
          <w:szCs w:val="32"/>
        </w:rPr>
        <w:t>本溪市溪湖区河东街道办事处共有车辆1台，其中：一般公务用车1台。其他国有资产情况</w:t>
      </w:r>
      <w:r>
        <w:rPr>
          <w:rFonts w:hint="eastAsia" w:ascii="仿宋_GB2312" w:hAnsi="宋体" w:eastAsia="仿宋_GB2312"/>
          <w:sz w:val="32"/>
          <w:szCs w:val="32"/>
          <w:lang w:val="en-US" w:eastAsia="zh-CN"/>
        </w:rPr>
        <w:t>434.51万元。</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六、绩效情况</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根据预算绩效管理要求，本溪市溪湖区</w:t>
      </w:r>
      <w:r>
        <w:rPr>
          <w:rFonts w:hint="eastAsia" w:ascii="仿宋_GB2312" w:hAnsi="微软雅黑" w:eastAsia="仿宋_GB2312" w:cs="宋体"/>
          <w:color w:val="333333"/>
          <w:kern w:val="0"/>
          <w:sz w:val="32"/>
          <w:szCs w:val="32"/>
          <w:lang w:eastAsia="zh-CN"/>
        </w:rPr>
        <w:t>人民政府河东街道办事处</w:t>
      </w:r>
      <w:r>
        <w:rPr>
          <w:rFonts w:hint="eastAsia" w:ascii="仿宋_GB2312" w:hAnsi="微软雅黑" w:eastAsia="仿宋_GB2312" w:cs="宋体"/>
          <w:color w:val="333333"/>
          <w:kern w:val="0"/>
          <w:sz w:val="32"/>
          <w:szCs w:val="32"/>
        </w:rPr>
        <w:t>2022年应编制绩效目标的项目共</w:t>
      </w:r>
      <w:r>
        <w:rPr>
          <w:rFonts w:hint="eastAsia" w:ascii="仿宋_GB2312" w:hAnsi="微软雅黑" w:eastAsia="仿宋_GB2312" w:cs="宋体"/>
          <w:color w:val="333333"/>
          <w:kern w:val="0"/>
          <w:sz w:val="32"/>
          <w:szCs w:val="32"/>
          <w:lang w:val="en-US" w:eastAsia="zh-CN"/>
        </w:rPr>
        <w:t>0</w:t>
      </w:r>
      <w:r>
        <w:rPr>
          <w:rFonts w:hint="eastAsia" w:ascii="仿宋_GB2312" w:hAnsi="微软雅黑" w:eastAsia="仿宋_GB2312" w:cs="宋体"/>
          <w:color w:val="333333"/>
          <w:kern w:val="0"/>
          <w:sz w:val="32"/>
          <w:szCs w:val="32"/>
        </w:rPr>
        <w:t>个，实际编制绩效目标的项目共</w:t>
      </w:r>
      <w:r>
        <w:rPr>
          <w:rFonts w:hint="eastAsia" w:ascii="仿宋_GB2312" w:hAnsi="微软雅黑" w:eastAsia="仿宋_GB2312" w:cs="宋体"/>
          <w:color w:val="333333"/>
          <w:kern w:val="0"/>
          <w:sz w:val="32"/>
          <w:szCs w:val="32"/>
          <w:lang w:val="en-US" w:eastAsia="zh-CN"/>
        </w:rPr>
        <w:t>0</w:t>
      </w:r>
      <w:r>
        <w:rPr>
          <w:rFonts w:hint="eastAsia" w:ascii="仿宋_GB2312" w:hAnsi="微软雅黑" w:eastAsia="仿宋_GB2312" w:cs="宋体"/>
          <w:color w:val="333333"/>
          <w:kern w:val="0"/>
          <w:sz w:val="32"/>
          <w:szCs w:val="32"/>
        </w:rPr>
        <w:t>个，涉及资金</w:t>
      </w:r>
      <w:r>
        <w:rPr>
          <w:rFonts w:hint="eastAsia" w:ascii="仿宋_GB2312" w:hAnsi="微软雅黑" w:eastAsia="仿宋_GB2312" w:cs="宋体"/>
          <w:color w:val="333333"/>
          <w:kern w:val="0"/>
          <w:sz w:val="32"/>
          <w:szCs w:val="32"/>
          <w:lang w:val="en-US" w:eastAsia="zh-CN"/>
        </w:rPr>
        <w:t>0</w:t>
      </w:r>
      <w:bookmarkStart w:id="1" w:name="_GoBack"/>
      <w:bookmarkEnd w:id="1"/>
      <w:r>
        <w:rPr>
          <w:rFonts w:hint="eastAsia" w:ascii="仿宋_GB2312" w:hAnsi="微软雅黑" w:eastAsia="仿宋_GB2312" w:cs="宋体"/>
          <w:color w:val="333333"/>
          <w:kern w:val="0"/>
          <w:sz w:val="32"/>
          <w:szCs w:val="32"/>
        </w:rPr>
        <w:t>万元，编制绩效目标的项目覆盖率（实际编制绩效目标的项目/应编制绩效目标的项目）为100%。</w:t>
      </w:r>
    </w:p>
    <w:p>
      <w:pPr>
        <w:keepLines/>
      </w:pPr>
    </w:p>
    <w:p>
      <w:pPr>
        <w:keepLines/>
      </w:pPr>
    </w:p>
    <w:p>
      <w:pPr>
        <w:keepLines/>
      </w:pPr>
    </w:p>
    <w:p>
      <w:pPr>
        <w:keepLines/>
      </w:pPr>
    </w:p>
    <w:p>
      <w:pPr>
        <w:keepLines/>
      </w:pPr>
    </w:p>
    <w:p>
      <w:pPr>
        <w:keepLines/>
      </w:pPr>
    </w:p>
    <w:p>
      <w:pPr>
        <w:keepLines/>
      </w:pPr>
    </w:p>
    <w:p>
      <w:pPr>
        <w:keepLines/>
      </w:pPr>
    </w:p>
    <w:p>
      <w:pPr>
        <w:keepLines/>
      </w:pPr>
    </w:p>
    <w:p>
      <w:pPr>
        <w:keepLines/>
      </w:pPr>
    </w:p>
    <w:p>
      <w:pPr>
        <w:keepLines/>
      </w:pPr>
    </w:p>
    <w:p>
      <w:pPr>
        <w:keepLines/>
      </w:pPr>
    </w:p>
    <w:p/>
    <w:p>
      <w:pPr>
        <w:jc w:val="center"/>
        <w:rPr>
          <w:rFonts w:ascii="宋体" w:hAnsi="宋体"/>
          <w:b/>
          <w:sz w:val="36"/>
          <w:szCs w:val="36"/>
        </w:rPr>
      </w:pPr>
      <w:r>
        <w:rPr>
          <w:rFonts w:hint="eastAsia" w:ascii="宋体" w:hAnsi="宋体"/>
          <w:b/>
          <w:sz w:val="36"/>
          <w:szCs w:val="36"/>
        </w:rPr>
        <w:t>第四部分 名词解释</w:t>
      </w:r>
    </w:p>
    <w:p>
      <w:pPr>
        <w:jc w:val="center"/>
        <w:rPr>
          <w:rFonts w:ascii="黑体" w:eastAsia="黑体"/>
          <w:sz w:val="36"/>
          <w:szCs w:val="36"/>
        </w:rPr>
      </w:pPr>
    </w:p>
    <w:p>
      <w:pPr>
        <w:ind w:firstLine="643" w:firstLineChars="200"/>
        <w:jc w:val="left"/>
        <w:rPr>
          <w:rFonts w:ascii="仿宋_GB2312" w:eastAsia="仿宋_GB2312"/>
          <w:sz w:val="32"/>
          <w:szCs w:val="32"/>
        </w:rPr>
      </w:pPr>
      <w:r>
        <w:rPr>
          <w:rFonts w:hint="eastAsia" w:ascii="仿宋_GB2312" w:eastAsia="仿宋_GB2312"/>
          <w:b/>
          <w:sz w:val="32"/>
          <w:szCs w:val="32"/>
        </w:rPr>
        <w:t>1.财政拨款收入：</w:t>
      </w:r>
      <w:r>
        <w:rPr>
          <w:rFonts w:hint="eastAsia" w:ascii="仿宋_GB2312" w:eastAsia="仿宋_GB2312"/>
          <w:sz w:val="32"/>
          <w:szCs w:val="32"/>
        </w:rPr>
        <w:t>指市级财政当年拨付的资金。</w:t>
      </w:r>
    </w:p>
    <w:p>
      <w:pPr>
        <w:ind w:firstLine="643" w:firstLineChars="200"/>
        <w:jc w:val="left"/>
        <w:rPr>
          <w:rFonts w:ascii="仿宋_GB2312" w:eastAsia="仿宋_GB2312"/>
          <w:sz w:val="32"/>
          <w:szCs w:val="32"/>
        </w:rPr>
      </w:pPr>
      <w:r>
        <w:rPr>
          <w:rFonts w:hint="eastAsia" w:ascii="仿宋_GB2312" w:eastAsia="仿宋_GB2312"/>
          <w:b/>
          <w:sz w:val="32"/>
          <w:szCs w:val="32"/>
        </w:rPr>
        <w:t>2.基本支出：</w:t>
      </w:r>
      <w:r>
        <w:rPr>
          <w:rFonts w:hint="eastAsia" w:ascii="仿宋_GB2312" w:eastAsia="仿宋_GB2312"/>
          <w:sz w:val="32"/>
          <w:szCs w:val="32"/>
        </w:rPr>
        <w:t>指保障机构正常运转、完成日常工作任务而发生的人员支出和公用支出。</w:t>
      </w:r>
    </w:p>
    <w:p>
      <w:pPr>
        <w:ind w:firstLine="643" w:firstLineChars="200"/>
        <w:jc w:val="left"/>
        <w:rPr>
          <w:rFonts w:ascii="仿宋_GB2312" w:eastAsia="仿宋_GB2312"/>
          <w:b/>
          <w:sz w:val="32"/>
          <w:szCs w:val="32"/>
        </w:rPr>
      </w:pPr>
      <w:r>
        <w:rPr>
          <w:rFonts w:hint="eastAsia" w:ascii="仿宋_GB2312" w:eastAsia="仿宋_GB2312"/>
          <w:b/>
          <w:sz w:val="32"/>
          <w:szCs w:val="32"/>
        </w:rPr>
        <w:t>3.项目支出：</w:t>
      </w:r>
      <w:r>
        <w:rPr>
          <w:rFonts w:hint="eastAsia" w:ascii="仿宋_GB2312" w:eastAsia="仿宋_GB2312"/>
          <w:sz w:val="32"/>
          <w:szCs w:val="32"/>
        </w:rPr>
        <w:t>指在基本支出之外为完成特定行政任务和事业发展目标所发生的支出。</w:t>
      </w:r>
    </w:p>
    <w:p>
      <w:pPr>
        <w:ind w:firstLine="643" w:firstLineChars="200"/>
        <w:rPr>
          <w:rFonts w:ascii="仿宋_GB2312" w:eastAsia="仿宋_GB2312"/>
          <w:sz w:val="32"/>
          <w:szCs w:val="32"/>
        </w:rPr>
      </w:pPr>
      <w:r>
        <w:rPr>
          <w:rFonts w:hint="eastAsia" w:ascii="仿宋_GB2312" w:eastAsia="仿宋_GB2312"/>
          <w:b/>
          <w:sz w:val="32"/>
        </w:rPr>
        <w:t>4.机关运行经费：</w:t>
      </w:r>
      <w:r>
        <w:rPr>
          <w:rFonts w:hint="eastAsia" w:ascii="仿宋_GB2312" w:eastAsia="仿宋_GB2312"/>
          <w:sz w:val="32"/>
          <w:szCs w:val="32"/>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ind w:firstLine="643" w:firstLineChars="200"/>
        <w:jc w:val="left"/>
        <w:rPr>
          <w:rFonts w:ascii="仿宋_GB2312" w:eastAsia="仿宋_GB2312"/>
          <w:b/>
          <w:sz w:val="32"/>
          <w:szCs w:val="32"/>
        </w:rPr>
      </w:pPr>
      <w:r>
        <w:rPr>
          <w:rFonts w:hint="eastAsia" w:ascii="仿宋_GB2312" w:eastAsia="仿宋_GB2312"/>
          <w:b/>
          <w:sz w:val="32"/>
          <w:szCs w:val="32"/>
        </w:rPr>
        <w:t>5.行政事业性收费收入：</w:t>
      </w:r>
      <w:r>
        <w:rPr>
          <w:rFonts w:hint="eastAsia" w:ascii="仿宋_GB2312" w:eastAsia="仿宋_GB2312"/>
          <w:sz w:val="32"/>
          <w:szCs w:val="32"/>
        </w:rPr>
        <w:t>指依据法律、行政法规、国务院有关规定、国务院财政部门会同价格主管部门共同发布的规章或者规定，省、自治区、直辖市人民政府财政部门会同价格主管部门共同发布的规定所收取的各项收费收入。</w:t>
      </w:r>
    </w:p>
    <w:p>
      <w:pPr>
        <w:ind w:firstLine="643" w:firstLineChars="200"/>
        <w:jc w:val="left"/>
        <w:rPr>
          <w:rFonts w:ascii="仿宋_GB2312" w:eastAsia="仿宋_GB2312"/>
          <w:b/>
          <w:sz w:val="32"/>
          <w:szCs w:val="32"/>
        </w:rPr>
      </w:pPr>
      <w:bookmarkStart w:id="0" w:name="OLE_LINK1"/>
      <w:r>
        <w:rPr>
          <w:rFonts w:hint="eastAsia" w:ascii="仿宋_GB2312" w:eastAsia="仿宋_GB2312"/>
          <w:b/>
          <w:sz w:val="32"/>
          <w:szCs w:val="32"/>
        </w:rPr>
        <w:t>6.政府性基金收入</w:t>
      </w:r>
      <w:bookmarkEnd w:id="0"/>
      <w:r>
        <w:rPr>
          <w:rFonts w:hint="eastAsia" w:ascii="仿宋_GB2312" w:eastAsia="仿宋_GB2312"/>
          <w:b/>
          <w:sz w:val="32"/>
          <w:szCs w:val="32"/>
        </w:rPr>
        <w:t>：</w:t>
      </w:r>
      <w:r>
        <w:rPr>
          <w:rFonts w:hint="eastAsia" w:ascii="仿宋_GB2312" w:eastAsia="仿宋_GB2312"/>
          <w:sz w:val="32"/>
          <w:szCs w:val="32"/>
        </w:rPr>
        <w:t>反应各级政府及其所属部门根据法律、行政法规规定并经国务院或财政部批准，向公民、法人和其他组织征收的政府性基金，以及参照政府性基金管理或纳入基金预算、具有特定用途的财政资金。</w:t>
      </w:r>
    </w:p>
    <w:p>
      <w:pPr>
        <w:ind w:firstLine="643" w:firstLineChars="200"/>
        <w:jc w:val="left"/>
        <w:rPr>
          <w:rFonts w:ascii="仿宋_GB2312" w:eastAsia="仿宋_GB2312"/>
          <w:sz w:val="32"/>
          <w:szCs w:val="32"/>
        </w:rPr>
      </w:pPr>
      <w:r>
        <w:rPr>
          <w:rFonts w:hint="eastAsia" w:ascii="仿宋_GB2312" w:eastAsia="仿宋_GB2312"/>
          <w:b/>
          <w:sz w:val="32"/>
          <w:szCs w:val="32"/>
        </w:rPr>
        <w:t>7.其他收入：</w:t>
      </w:r>
      <w:r>
        <w:rPr>
          <w:rFonts w:hint="eastAsia" w:ascii="仿宋_GB2312" w:eastAsia="仿宋_GB2312"/>
          <w:sz w:val="32"/>
          <w:szCs w:val="32"/>
        </w:rPr>
        <w:t>指除上述“财政拨款收入”、“行政事业性收费收入”、“政府性基金收入”以外的收入。</w:t>
      </w:r>
    </w:p>
    <w:p>
      <w:pPr>
        <w:ind w:firstLine="643" w:firstLineChars="200"/>
        <w:jc w:val="left"/>
        <w:rPr>
          <w:rFonts w:ascii="仿宋_GB2312" w:eastAsia="仿宋_GB2312"/>
          <w:sz w:val="32"/>
          <w:szCs w:val="32"/>
        </w:rPr>
      </w:pPr>
      <w:r>
        <w:rPr>
          <w:rFonts w:hint="eastAsia" w:ascii="仿宋_GB2312" w:eastAsia="仿宋_GB2312"/>
          <w:b/>
          <w:sz w:val="32"/>
          <w:szCs w:val="32"/>
        </w:rPr>
        <w:t>8.“三公”经费</w:t>
      </w:r>
      <w:r>
        <w:rPr>
          <w:rFonts w:hint="eastAsia" w:ascii="仿宋_GB2312" w:eastAsia="仿宋_GB2312"/>
          <w:sz w:val="32"/>
          <w:szCs w:val="32"/>
        </w:rPr>
        <w:t>：指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费及燃料费、维修费、过桥过路费、保险费、安全奖励费用等支出；公务接待费反映单位按规定开支的各类公务接待（含外宾接待）费用。</w:t>
      </w:r>
    </w:p>
    <w:p>
      <w:pPr>
        <w:ind w:firstLine="643" w:firstLineChars="200"/>
        <w:jc w:val="left"/>
        <w:rPr>
          <w:rFonts w:ascii="仿宋_GB2312" w:eastAsia="仿宋_GB2312"/>
          <w:sz w:val="32"/>
          <w:szCs w:val="32"/>
        </w:rPr>
      </w:pPr>
      <w:r>
        <w:rPr>
          <w:rFonts w:hint="eastAsia" w:ascii="仿宋_GB2312" w:eastAsia="仿宋_GB2312"/>
          <w:b/>
          <w:sz w:val="32"/>
          <w:szCs w:val="32"/>
        </w:rPr>
        <w:t>9.一般公共服务（类）财政事务（款）行政运行（项）：</w:t>
      </w:r>
      <w:r>
        <w:rPr>
          <w:rFonts w:hint="eastAsia" w:ascii="仿宋_GB2312" w:eastAsia="仿宋_GB2312"/>
          <w:sz w:val="32"/>
          <w:szCs w:val="32"/>
        </w:rPr>
        <w:t>反映行政单位（包括实行公务员管理的事业单位）的基本支出。</w:t>
      </w:r>
    </w:p>
    <w:p>
      <w:pPr>
        <w:ind w:firstLine="643" w:firstLineChars="200"/>
        <w:jc w:val="left"/>
        <w:rPr>
          <w:rFonts w:ascii="仿宋_GB2312" w:eastAsia="仿宋_GB2312"/>
          <w:sz w:val="32"/>
          <w:szCs w:val="32"/>
        </w:rPr>
      </w:pPr>
      <w:r>
        <w:rPr>
          <w:rFonts w:hint="eastAsia" w:ascii="仿宋_GB2312" w:eastAsia="仿宋_GB2312"/>
          <w:b/>
          <w:sz w:val="32"/>
          <w:szCs w:val="32"/>
        </w:rPr>
        <w:t>10.一般公共服务（类）财政事务（款）事业运行（项）：</w:t>
      </w:r>
      <w:r>
        <w:rPr>
          <w:rFonts w:hint="eastAsia" w:ascii="仿宋_GB2312" w:eastAsia="仿宋_GB2312"/>
          <w:sz w:val="32"/>
          <w:szCs w:val="32"/>
        </w:rPr>
        <w:t>反映事业单位的基本支出，不包括行政单位（包括实行公务员管理的事业单位）后勤服务中心、医务室等附属事业单位。</w:t>
      </w:r>
    </w:p>
    <w:p>
      <w:pPr>
        <w:ind w:firstLine="643" w:firstLineChars="200"/>
        <w:jc w:val="left"/>
        <w:rPr>
          <w:rFonts w:ascii="仿宋_GB2312" w:eastAsia="仿宋_GB2312"/>
          <w:sz w:val="32"/>
          <w:szCs w:val="32"/>
        </w:rPr>
      </w:pPr>
      <w:r>
        <w:rPr>
          <w:rFonts w:hint="eastAsia" w:ascii="仿宋_GB2312" w:eastAsia="仿宋_GB2312"/>
          <w:b/>
          <w:sz w:val="32"/>
          <w:szCs w:val="32"/>
        </w:rPr>
        <w:t>11.一般公共服务（类）财政事务（款）其他财政事务支出（项）：</w:t>
      </w:r>
      <w:r>
        <w:rPr>
          <w:rFonts w:hint="eastAsia" w:ascii="仿宋_GB2312" w:eastAsia="仿宋_GB2312"/>
          <w:sz w:val="32"/>
          <w:szCs w:val="32"/>
        </w:rPr>
        <w:t>反映除上述项目以外其他财政事务方面的支出。</w:t>
      </w:r>
    </w:p>
    <w:p>
      <w:pPr>
        <w:ind w:firstLine="643" w:firstLineChars="200"/>
        <w:jc w:val="left"/>
        <w:rPr>
          <w:rFonts w:ascii="仿宋_GB2312" w:eastAsia="仿宋_GB2312"/>
          <w:sz w:val="32"/>
          <w:szCs w:val="32"/>
        </w:rPr>
      </w:pPr>
      <w:r>
        <w:rPr>
          <w:rFonts w:hint="eastAsia" w:ascii="仿宋_GB2312" w:eastAsia="仿宋_GB2312"/>
          <w:b/>
          <w:sz w:val="32"/>
          <w:szCs w:val="32"/>
        </w:rPr>
        <w:t>12.社会保障和就业（类）行政事业单位离退休（款）归口管理的行政单位离退休（项）：</w:t>
      </w:r>
      <w:r>
        <w:rPr>
          <w:rFonts w:hint="eastAsia" w:ascii="仿宋_GB2312" w:eastAsia="仿宋_GB2312"/>
          <w:sz w:val="32"/>
          <w:szCs w:val="32"/>
        </w:rPr>
        <w:t>反映实行归口管理的行政单位（包括实行公务员管理的事业单位）开支的离退休经费。</w:t>
      </w:r>
    </w:p>
    <w:p>
      <w:pPr>
        <w:ind w:firstLine="643" w:firstLineChars="200"/>
        <w:jc w:val="left"/>
        <w:rPr>
          <w:rFonts w:ascii="仿宋_GB2312" w:eastAsia="仿宋_GB2312"/>
          <w:sz w:val="32"/>
          <w:szCs w:val="32"/>
        </w:rPr>
      </w:pPr>
      <w:r>
        <w:rPr>
          <w:rFonts w:hint="eastAsia" w:ascii="仿宋_GB2312" w:eastAsia="仿宋_GB2312"/>
          <w:b/>
          <w:sz w:val="32"/>
          <w:szCs w:val="32"/>
        </w:rPr>
        <w:t>13.社会保障和就业（类）行政事业单位离退休（款）事业单位离退休（项）：</w:t>
      </w:r>
      <w:r>
        <w:rPr>
          <w:rFonts w:hint="eastAsia" w:ascii="仿宋_GB2312" w:eastAsia="仿宋_GB2312"/>
          <w:sz w:val="32"/>
          <w:szCs w:val="32"/>
        </w:rPr>
        <w:t>反映实行归口管理的事业单位开支的离退休经费。</w:t>
      </w:r>
    </w:p>
    <w:p>
      <w:pPr>
        <w:ind w:firstLine="643" w:firstLineChars="200"/>
        <w:jc w:val="left"/>
      </w:pPr>
      <w:r>
        <w:rPr>
          <w:rFonts w:hint="eastAsia" w:ascii="仿宋_GB2312" w:eastAsia="仿宋_GB2312"/>
          <w:b/>
          <w:sz w:val="32"/>
          <w:szCs w:val="32"/>
        </w:rPr>
        <w:t>14.住房保障（类）住房改革（款）住房公积金（项）：</w:t>
      </w:r>
      <w:r>
        <w:rPr>
          <w:rFonts w:hint="eastAsia" w:ascii="仿宋_GB2312" w:eastAsia="仿宋_GB2312"/>
          <w:sz w:val="32"/>
          <w:szCs w:val="32"/>
        </w:rPr>
        <w:t>反映行政事业单位按人力资源和社会保障部、财政部规定的基本工资和津贴补贴以及规定比例为职工缴纳的住房公积金。</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7A6F"/>
    <w:rsid w:val="001770E9"/>
    <w:rsid w:val="00177A6F"/>
    <w:rsid w:val="0018703D"/>
    <w:rsid w:val="003B3C2A"/>
    <w:rsid w:val="00467FB6"/>
    <w:rsid w:val="00686DA1"/>
    <w:rsid w:val="007F4D5A"/>
    <w:rsid w:val="008D7A97"/>
    <w:rsid w:val="00B218D5"/>
    <w:rsid w:val="00F27900"/>
    <w:rsid w:val="04F152D0"/>
    <w:rsid w:val="068259B6"/>
    <w:rsid w:val="11E14479"/>
    <w:rsid w:val="17362C0E"/>
    <w:rsid w:val="176E2B03"/>
    <w:rsid w:val="192C575A"/>
    <w:rsid w:val="296C7320"/>
    <w:rsid w:val="2A501878"/>
    <w:rsid w:val="2A751159"/>
    <w:rsid w:val="2F993E46"/>
    <w:rsid w:val="35A86D49"/>
    <w:rsid w:val="39182E39"/>
    <w:rsid w:val="4C571DE6"/>
    <w:rsid w:val="4DE06DF4"/>
    <w:rsid w:val="510925F7"/>
    <w:rsid w:val="5271591F"/>
    <w:rsid w:val="590C4242"/>
    <w:rsid w:val="59B175FF"/>
    <w:rsid w:val="673C14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paragraph" w:styleId="8">
    <w:name w:val="List Paragraph"/>
    <w:basedOn w:val="1"/>
    <w:qFormat/>
    <w:uiPriority w:val="34"/>
    <w:pPr>
      <w:ind w:firstLine="420" w:firstLineChars="200"/>
    </w:pPr>
  </w:style>
  <w:style w:type="character" w:customStyle="1" w:styleId="9">
    <w:name w:val="页眉 Char"/>
    <w:basedOn w:val="6"/>
    <w:link w:val="3"/>
    <w:qFormat/>
    <w:uiPriority w:val="99"/>
    <w:rPr>
      <w:sz w:val="18"/>
      <w:szCs w:val="18"/>
    </w:rPr>
  </w:style>
  <w:style w:type="character" w:customStyle="1" w:styleId="10">
    <w:name w:val="页脚 Char"/>
    <w:basedOn w:val="6"/>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11</Pages>
  <Words>487</Words>
  <Characters>2782</Characters>
  <Lines>23</Lines>
  <Paragraphs>6</Paragraphs>
  <TotalTime>13</TotalTime>
  <ScaleCrop>false</ScaleCrop>
  <LinksUpToDate>false</LinksUpToDate>
  <CharactersWithSpaces>3263</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2021-06-10T06:12:00Z</dcterms:created>
  <dc:creator>Administrator</dc:creator>
  <cp:lastModifiedBy>Administrator</cp:lastModifiedBy>
  <dcterms:modified xsi:type="dcterms:W3CDTF">2022-01-04T01:17:16Z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C5EAA10F9934469AA462A2ED67F0F6D8</vt:lpwstr>
  </property>
</Properties>
</file>