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民政局</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微软雅黑" w:hAnsi="微软雅黑" w:eastAsia="宋体" w:cs="宋体"/>
          <w:color w:val="333333"/>
          <w:kern w:val="0"/>
          <w:sz w:val="24"/>
          <w:szCs w:val="24"/>
          <w:lang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民政局</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民政局</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民政局</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w:t>
      </w:r>
      <w:r>
        <w:rPr>
          <w:rFonts w:hint="eastAsia" w:ascii="黑体" w:hAnsi="黑体" w:eastAsia="黑体" w:cs="宋体"/>
          <w:color w:val="333333"/>
          <w:kern w:val="0"/>
          <w:sz w:val="32"/>
          <w:szCs w:val="32"/>
          <w:lang w:eastAsia="zh-CN"/>
        </w:rPr>
        <w:t>民政局</w:t>
      </w:r>
      <w:r>
        <w:rPr>
          <w:rFonts w:hint="eastAsia" w:ascii="黑体" w:hAnsi="黑体" w:eastAsia="黑体" w:cs="宋体"/>
          <w:color w:val="333333"/>
          <w:kern w:val="0"/>
          <w:sz w:val="32"/>
          <w:szCs w:val="32"/>
        </w:rPr>
        <w:t>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民政局</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numPr>
          <w:ilvl w:val="0"/>
          <w:numId w:val="1"/>
        </w:numPr>
        <w:shd w:val="clear" w:color="auto" w:fill="FFFFFF"/>
        <w:ind w:firstLine="645"/>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部门职责</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（一）贯彻执行国家、省、市有关民政工作的方针政策和法律法规，拟订民政事业发展规划和相关规范性文件，并组织实施和监督检查。</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（二）承担依法对社会团体、民办非企业单位进行登记管理的责任。</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（三）负责城乡居民最低生活保障、残疾人、高龄失能老人、农村留守儿童、孤儿、流浪乞讨及生活无着人员救助工作，统筹城乡社会救助体系建设。</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（四）提出加强和改进城乡基层政权建设的建议，推动基层民主政治建设；拟订城乡基层群众自治建设和社区治理规范性文件并指导实施；指导村(居)民委员会换届选举工作;指导村务公开工作。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（五）负责地名管理工作。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（六）负责婚姻登记和婚姻服务的管理工作。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（七）负责殡葬改革和殡葬管理工作。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（八）负责社会福利机构的管理、监督和检查工作；推进慈善事业发展；组织指导社会捐助工作。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（九）指导和培育社会工作服务行业的发展，推进社会工作人才队伍建设和相关志愿者队伍建设。</w:t>
      </w:r>
    </w:p>
    <w:p>
      <w:pPr>
        <w:ind w:firstLine="640" w:firstLineChars="200"/>
        <w:rPr>
          <w:rFonts w:ascii="仿宋_GB2312" w:hAnsi="黑体" w:eastAsia="仿宋_GB2312"/>
          <w:sz w:val="32"/>
          <w:szCs w:val="32"/>
        </w:rPr>
      </w:pPr>
      <w:r>
        <w:rPr>
          <w:rFonts w:hint="eastAsia" w:ascii="仿宋_GB2312" w:hAnsi="黑体" w:eastAsia="仿宋_GB2312"/>
          <w:sz w:val="32"/>
          <w:szCs w:val="32"/>
        </w:rPr>
        <w:t>（十）完成区委、区政府和市民政局交办的其他任务。</w:t>
      </w:r>
    </w:p>
    <w:p>
      <w:pPr>
        <w:keepLines/>
        <w:widowControl/>
        <w:numPr>
          <w:numId w:val="0"/>
        </w:numPr>
        <w:shd w:val="clear" w:color="auto" w:fill="FFFFFF"/>
        <w:jc w:val="left"/>
        <w:rPr>
          <w:rFonts w:hint="eastAsia" w:ascii="黑体" w:hAnsi="黑体" w:eastAsia="黑体" w:cs="宋体"/>
          <w:color w:val="333333"/>
          <w:kern w:val="0"/>
          <w:sz w:val="32"/>
          <w:szCs w:val="32"/>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民政局</w:t>
      </w:r>
      <w:r>
        <w:rPr>
          <w:rFonts w:hint="eastAsia" w:ascii="仿宋_GB2312" w:hAnsi="微软雅黑" w:eastAsia="仿宋_GB2312" w:cs="宋体"/>
          <w:color w:val="333333"/>
          <w:kern w:val="0"/>
          <w:sz w:val="32"/>
          <w:szCs w:val="32"/>
        </w:rPr>
        <w:t>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（一）  </w:t>
      </w:r>
      <w:r>
        <w:rPr>
          <w:rFonts w:hint="eastAsia" w:ascii="仿宋_GB2312" w:eastAsia="仿宋_GB2312"/>
          <w:sz w:val="32"/>
          <w:szCs w:val="32"/>
        </w:rPr>
        <w:t>本溪市溪湖区民政局</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民政局</w:t>
      </w:r>
      <w:r>
        <w:rPr>
          <w:rFonts w:hint="eastAsia" w:ascii="宋体" w:hAnsi="宋体" w:eastAsia="宋体" w:cs="宋体"/>
          <w:b/>
          <w:bCs/>
          <w:color w:val="333333"/>
          <w:kern w:val="0"/>
          <w:sz w:val="36"/>
          <w:szCs w:val="36"/>
        </w:rPr>
        <w:t>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民政局</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（一）收入预算8356.97万元，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8356.97</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8356.97</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spacing w:line="540" w:lineRule="exact"/>
        <w:ind w:firstLine="660"/>
        <w:rPr>
          <w:rFonts w:hint="eastAsia" w:ascii="仿宋_GB2312" w:hAnsi="宋体" w:eastAsia="仿宋_GB2312"/>
          <w:sz w:val="32"/>
          <w:szCs w:val="32"/>
        </w:rPr>
      </w:pPr>
      <w:r>
        <w:rPr>
          <w:rFonts w:hint="eastAsia" w:ascii="仿宋_GB2312" w:hAnsi="微软雅黑" w:eastAsia="仿宋_GB2312" w:cs="宋体"/>
          <w:color w:val="333333"/>
          <w:kern w:val="0"/>
          <w:sz w:val="32"/>
          <w:szCs w:val="32"/>
        </w:rPr>
        <w:t>1.基本支出90.81万元；</w:t>
      </w:r>
      <w:r>
        <w:rPr>
          <w:rFonts w:hint="eastAsia" w:ascii="仿宋_GB2312" w:hAnsi="宋体" w:eastAsia="仿宋_GB2312"/>
          <w:sz w:val="32"/>
          <w:szCs w:val="32"/>
        </w:rPr>
        <w:t>主要是为保障机构正常运转、完成日常工作任务而发生的各项支出，其中：工资福利支出79.01万元，对个人和家庭的补助支出3.6万元，商品和服务支出8.2万元。</w:t>
      </w:r>
    </w:p>
    <w:p>
      <w:pPr>
        <w:keepLines/>
        <w:widowControl/>
        <w:shd w:val="clear" w:color="auto" w:fill="FFFFFF"/>
        <w:ind w:firstLine="660"/>
        <w:jc w:val="left"/>
        <w:rPr>
          <w:rFonts w:ascii="微软雅黑" w:hAnsi="微软雅黑" w:eastAsia="微软雅黑" w:cs="宋体"/>
          <w:color w:val="333333"/>
          <w:kern w:val="0"/>
          <w:sz w:val="24"/>
          <w:szCs w:val="24"/>
        </w:rPr>
      </w:pPr>
    </w:p>
    <w:p>
      <w:pPr>
        <w:spacing w:line="540" w:lineRule="exact"/>
        <w:ind w:firstLine="660"/>
        <w:rPr>
          <w:rFonts w:hint="eastAsia" w:ascii="仿宋_GB2312" w:hAnsi="宋体" w:eastAsia="仿宋_GB2312"/>
          <w:sz w:val="32"/>
          <w:szCs w:val="32"/>
        </w:rPr>
      </w:pPr>
      <w:r>
        <w:rPr>
          <w:rFonts w:hint="eastAsia" w:ascii="仿宋_GB2312" w:hAnsi="微软雅黑" w:eastAsia="仿宋_GB2312" w:cs="宋体"/>
          <w:color w:val="333333"/>
          <w:kern w:val="0"/>
          <w:sz w:val="32"/>
          <w:szCs w:val="32"/>
        </w:rPr>
        <w:t>2.项目支出8266.16万元；</w:t>
      </w:r>
      <w:r>
        <w:rPr>
          <w:rFonts w:hint="eastAsia" w:ascii="仿宋_GB2312" w:hAnsi="宋体" w:eastAsia="仿宋_GB2312"/>
          <w:sz w:val="32"/>
          <w:szCs w:val="32"/>
        </w:rPr>
        <w:t>主要包括社会保障和就业支出</w:t>
      </w:r>
      <w:r>
        <w:rPr>
          <w:rFonts w:hint="eastAsia" w:ascii="仿宋_GB2312" w:hAnsi="宋体" w:eastAsia="仿宋_GB2312"/>
          <w:sz w:val="32"/>
          <w:szCs w:val="32"/>
          <w:lang w:eastAsia="zh-CN"/>
        </w:rPr>
        <w:t>、民政管理事务、行政运行</w:t>
      </w:r>
      <w:r>
        <w:rPr>
          <w:rFonts w:hint="eastAsia" w:ascii="仿宋_GB2312" w:hAnsi="宋体" w:eastAsia="仿宋_GB2312"/>
          <w:sz w:val="32"/>
          <w:szCs w:val="32"/>
        </w:rPr>
        <w:t>等业务支出。</w:t>
      </w:r>
    </w:p>
    <w:p>
      <w:pPr>
        <w:keepLines/>
        <w:widowControl/>
        <w:shd w:val="clear" w:color="auto" w:fill="FFFFFF"/>
        <w:ind w:firstLine="660"/>
        <w:jc w:val="left"/>
        <w:rPr>
          <w:rFonts w:hint="eastAsia" w:ascii="微软雅黑" w:hAnsi="微软雅黑" w:eastAsia="仿宋_GB2312" w:cs="宋体"/>
          <w:color w:val="333333"/>
          <w:kern w:val="0"/>
          <w:sz w:val="24"/>
          <w:szCs w:val="24"/>
          <w:lang w:eastAsia="zh-CN"/>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3556.49</w:t>
      </w:r>
      <w:r>
        <w:rPr>
          <w:rFonts w:hint="eastAsia" w:ascii="仿宋_GB2312" w:hAnsi="微软雅黑" w:eastAsia="仿宋_GB2312" w:cs="宋体"/>
          <w:color w:val="333333"/>
          <w:kern w:val="0"/>
          <w:sz w:val="32"/>
          <w:szCs w:val="32"/>
        </w:rPr>
        <w:t>万元，增减变化的主要原因为</w:t>
      </w:r>
      <w:r>
        <w:rPr>
          <w:rFonts w:hint="eastAsia" w:ascii="仿宋_GB2312" w:hAnsi="宋体" w:eastAsia="仿宋_GB2312"/>
          <w:sz w:val="32"/>
          <w:szCs w:val="32"/>
        </w:rPr>
        <w:t>发生人员级别变更</w:t>
      </w:r>
      <w:bookmarkStart w:id="1" w:name="_GoBack"/>
      <w:bookmarkEnd w:id="1"/>
      <w:r>
        <w:rPr>
          <w:rFonts w:hint="eastAsia" w:ascii="仿宋_GB2312" w:hAnsi="宋体" w:eastAsia="仿宋_GB2312"/>
          <w:sz w:val="32"/>
          <w:szCs w:val="32"/>
        </w:rPr>
        <w:t>及项目支出相关人员数量变动</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民政局</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8.2</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2022年预算比2021年减少</w:t>
      </w:r>
      <w:r>
        <w:rPr>
          <w:rFonts w:hint="eastAsia" w:ascii="仿宋_GB2312" w:hAnsi="微软雅黑" w:eastAsia="仿宋_GB2312" w:cs="宋体"/>
          <w:color w:val="333333"/>
          <w:kern w:val="0"/>
          <w:sz w:val="32"/>
          <w:szCs w:val="32"/>
          <w:lang w:val="en-US" w:eastAsia="zh-CN"/>
        </w:rPr>
        <w:t>0.94</w:t>
      </w:r>
      <w:r>
        <w:rPr>
          <w:rFonts w:hint="eastAsia" w:ascii="仿宋_GB2312" w:hAnsi="微软雅黑" w:eastAsia="仿宋_GB2312" w:cs="宋体"/>
          <w:color w:val="333333"/>
          <w:kern w:val="0"/>
          <w:sz w:val="32"/>
          <w:szCs w:val="32"/>
        </w:rPr>
        <w:t>万元，主要原因是</w:t>
      </w:r>
      <w:r>
        <w:rPr>
          <w:rFonts w:hint="eastAsia" w:ascii="仿宋_GB2312" w:hAnsi="宋体" w:eastAsia="仿宋_GB2312"/>
          <w:sz w:val="32"/>
          <w:szCs w:val="32"/>
        </w:rPr>
        <w:t>发生人员级别变更</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2022年，本溪市溪湖区部门名称一般公共预算安排“三公”经费预算为0万元，比2021年减少</w:t>
      </w:r>
      <w:r>
        <w:rPr>
          <w:rFonts w:hint="eastAsia" w:ascii="仿宋_GB2312" w:hAnsi="微软雅黑" w:eastAsia="仿宋_GB2312" w:cs="宋体"/>
          <w:color w:val="333333"/>
          <w:kern w:val="0"/>
          <w:sz w:val="32"/>
          <w:szCs w:val="32"/>
          <w:lang w:val="en-US" w:eastAsia="zh-CN"/>
        </w:rPr>
        <w:t>0.08</w:t>
      </w:r>
      <w:r>
        <w:rPr>
          <w:rFonts w:hint="eastAsia" w:ascii="仿宋_GB2312" w:hAnsi="微软雅黑" w:eastAsia="仿宋_GB2312" w:cs="宋体"/>
          <w:color w:val="333333"/>
          <w:kern w:val="0"/>
          <w:sz w:val="32"/>
          <w:szCs w:val="32"/>
        </w:rPr>
        <w:t>万元，下降</w:t>
      </w:r>
      <w:r>
        <w:rPr>
          <w:rFonts w:hint="eastAsia" w:ascii="仿宋_GB2312" w:hAnsi="微软雅黑" w:eastAsia="仿宋_GB2312" w:cs="宋体"/>
          <w:color w:val="333333"/>
          <w:kern w:val="0"/>
          <w:sz w:val="32"/>
          <w:szCs w:val="32"/>
          <w:lang w:val="en-US" w:eastAsia="zh-CN"/>
        </w:rPr>
        <w:t>100</w:t>
      </w:r>
      <w:r>
        <w:rPr>
          <w:rFonts w:hint="eastAsia" w:ascii="仿宋_GB2312" w:hAnsi="微软雅黑" w:eastAsia="仿宋_GB2312" w:cs="宋体"/>
          <w:color w:val="333333"/>
          <w:kern w:val="0"/>
          <w:sz w:val="32"/>
          <w:szCs w:val="32"/>
        </w:rPr>
        <w:t>%。其中：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0.08</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本溪市溪湖区部门名称共有车辆0台，其中：一般公务用车0台……。其他国有资产情况……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根据预算绩效管理要求，本溪市溪湖区部门名称2022年应编制绩效目标的项目共</w:t>
      </w:r>
      <w:r>
        <w:rPr>
          <w:rFonts w:hint="eastAsia" w:ascii="仿宋_GB2312" w:hAnsi="微软雅黑" w:eastAsia="仿宋_GB2312" w:cs="宋体"/>
          <w:color w:val="333333"/>
          <w:kern w:val="0"/>
          <w:sz w:val="32"/>
          <w:szCs w:val="32"/>
          <w:lang w:val="en-US" w:eastAsia="zh-CN"/>
        </w:rPr>
        <w:t>12</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12</w:t>
      </w:r>
      <w:r>
        <w:rPr>
          <w:rFonts w:hint="eastAsia" w:ascii="仿宋_GB2312" w:hAnsi="微软雅黑" w:eastAsia="仿宋_GB2312" w:cs="宋体"/>
          <w:color w:val="333333"/>
          <w:kern w:val="0"/>
          <w:sz w:val="32"/>
          <w:szCs w:val="32"/>
        </w:rPr>
        <w:t>个，涉及资金8266.16万元，编制绩效目标的项目覆盖率（实际编制绩效目标的项目/应编制绩效目标的项目）为100%。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E27C6"/>
    <w:multiLevelType w:val="singleLevel"/>
    <w:tmpl w:val="A58E27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199E4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4</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2021-12-30T02:23:45Z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A220864673AE474EBAA9841BE70D8781</vt:lpwstr>
  </property>
</Properties>
</file>