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本溪市溪湖区部门名称2022年部门预算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教育局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教育局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本溪市溪湖区教育局2022年部门预算情况说明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2022年本溪市溪湖区教育局部门预算批复公开表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本溪市溪湖区教育局概况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贯彻执行党和国家教育体育工作方针、政策和法律、法规；研究制定全区教育基础教育、学前教育事业发展规划，负责和指导教育系统直属单位党的建设工作；指导教育人事制度改革，组织教育督导工作，制定教育经费的财务管理和使用的实施办法，做好教育经费预算和决算工作，加强对学校经费管理和使用的检查、监督、指导。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纳入本溪市溪湖区教育局2022年部门预算编制范围的二级预算单位包括：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（一）本溪市溪湖区教育局（本级）</w:t>
      </w: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第三部分本溪市溪湖区教育局2022年部门预算情况说明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按照综合预算的原则，本溪市溪湖区教育局所有收入和支出均纳入部门预算管理。其中：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（一）收入预算227.58万元，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1.财政拨款收入227.58万元；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（二）支出预算227.58万元，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1.基本支出98.90万元；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2.项目支出178.97万元；</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984</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val="en-US" w:eastAsia="zh-CN"/>
        </w:rPr>
        <w:t>项目支出减少。</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教育局机关运行经费预算为15.52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-8.48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val="en-US" w:eastAsia="zh-CN"/>
        </w:rPr>
        <w:t>车补上调、取暖费上调</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2022年本溪市溪湖区教育局安排政府采购预算0万元，其中：政府采购货物支出0万元，政府购买服务支出0万元，政府采购工程支出0万元。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2022年，本溪市溪湖区教育局一般公共预算安排“三公”经费预算为0万元，比2021年减少0万元，下降0%。其中：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本溪市溪湖区教育局共有车辆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根据预算绩效管理要求，本溪市溪湖区教育局2022年应编制绩效目标的项目共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个，涉及资金128.68</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1E212AC9"/>
    <w:rsid w:val="2597462D"/>
    <w:rsid w:val="30B97801"/>
    <w:rsid w:val="3EFC42AB"/>
    <w:rsid w:val="55C06993"/>
    <w:rsid w:val="5D57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42</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BA217EBC954A41E1B8206B600EFAB8AE</vt:lpwstr>
  </property>
</Properties>
</file>