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后石小学</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本溪市溪湖区后石小学</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本溪市溪湖区后石小学概况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本溪市溪湖区后石小学2022年部门预算情况说明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2022年本溪市溪湖区后石小学部门预算批复公开表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本溪市溪湖区后石小学概况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实施小学义务教育 促进基础教育发展 小学学历教育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纳入本溪市溪湖区后石小学2022年部门预算编制范围的二级预算单位包括：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本溪市溪湖区后石小学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第三部分本溪市溪湖区部门名称2022年后石小学情况说明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按照综合预算的原则，本溪市溪湖区后石小学所有收入和支出均纳入部门预算管理。其中：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（一）收入预算598.38万元，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1.财政拨款收入598.38万元；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（二）支出预算598.38万元，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1.基本支出580.08万元；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2.项目支出18.30万元；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-71.43</w:t>
      </w:r>
      <w:r>
        <w:rPr>
          <w:rFonts w:hint="eastAsia" w:ascii="仿宋_GB2312" w:hAnsi="微软雅黑" w:eastAsia="仿宋_GB2312" w:cs="宋体"/>
          <w:color w:val="333333"/>
          <w:kern w:val="0"/>
          <w:sz w:val="32"/>
          <w:szCs w:val="32"/>
        </w:rPr>
        <w:t>万元，增减变化的主要原因为人员变动、取暖费上调。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后石小学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2022年本溪市溪湖区后石小学安排政府采购预算0万元，其中：政府采购货物支出0万元，政府购买服务支出0万元，政府采购工程支出0万元。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2022年，本溪市溪湖区后石小学一般公共预算安排“三公”经费预算为0万元，比2021年减少0万元，下降0%。其中：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2022年本溪市溪湖区后石小学“三公”经费预算表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本溪市溪湖区后石小学共有车辆0台，其中：一般公务用车0台……。其他国有资产情况……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根据预算绩效管理要求，本溪市溪湖区后石小学2022年应编制绩效目标的项目共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个，涉及资金17.30</w:t>
      </w:r>
      <w:r>
        <w:rPr>
          <w:rFonts w:hint="eastAsia" w:ascii="仿宋_GB2312" w:hAnsi="微软雅黑" w:eastAsia="仿宋_GB2312" w:cs="宋体"/>
          <w:color w:val="333333"/>
          <w:kern w:val="0"/>
          <w:sz w:val="32"/>
          <w:szCs w:val="32"/>
        </w:rPr>
        <w:tab/>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33D0E88"/>
    <w:rsid w:val="1D2F4516"/>
    <w:rsid w:val="30753A38"/>
    <w:rsid w:val="4D4801D4"/>
    <w:rsid w:val="571D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62</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2021-12-27T06:12:55Z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68C68F34960D4FF28374ECD452375365</vt:lpwstr>
  </property>
</Properties>
</file>