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val="en-US" w:eastAsia="zh-CN"/>
        </w:rPr>
        <w:t>三和小学</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本溪市溪湖区三和小学目录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本溪市溪湖区三和小学概况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本溪市溪湖区三和小学2022年部门预算情况说明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2022年本溪市溪湖区三和小学部门预算批复公开表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本溪市溪湖区三和小学概况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实施小学义务教育</w:t>
      </w:r>
      <w:r>
        <w:rPr>
          <w:rFonts w:hint="eastAsia" w:ascii="仿宋_GB2312" w:hAnsi="微软雅黑" w:eastAsia="仿宋_GB2312" w:cs="宋体"/>
          <w:color w:val="333333"/>
          <w:kern w:val="0"/>
          <w:sz w:val="32"/>
          <w:szCs w:val="32"/>
          <w:lang w:val="en-US" w:eastAsia="zh-CN"/>
        </w:rPr>
        <w:t>阶段特殊教育</w:t>
      </w:r>
      <w:r>
        <w:rPr>
          <w:rFonts w:hint="eastAsia" w:ascii="仿宋_GB2312" w:hAnsi="微软雅黑" w:eastAsia="仿宋_GB2312" w:cs="宋体"/>
          <w:color w:val="333333"/>
          <w:kern w:val="0"/>
          <w:sz w:val="32"/>
          <w:szCs w:val="32"/>
        </w:rPr>
        <w:t xml:space="preserve"> 促进基础教育发展 </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纳入本溪市溪湖区三和小学2022年部门预算编制范围的二级预算单位包括：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 本溪市溪湖区三和小学</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第三部分本溪市溪湖区三和小学2022年部门预算情况说明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按照综合预算的原则，本溪市溪湖区三和小学所有收入和支出均纳入部门预算管理。其中：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（一）收入预算630.04万元，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1.财政拨款收入630.04万元；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（二）支出预算630.04万元，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1.基本支出496.35万元；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2.项目支出133.69万元；</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2022年预算收支比2021年减少</w:t>
      </w:r>
      <w:r>
        <w:rPr>
          <w:rFonts w:hint="eastAsia" w:ascii="仿宋_GB2312" w:hAnsi="微软雅黑" w:eastAsia="仿宋_GB2312" w:cs="宋体"/>
          <w:color w:val="333333"/>
          <w:kern w:val="0"/>
          <w:sz w:val="32"/>
          <w:szCs w:val="32"/>
          <w:lang w:val="en-US" w:eastAsia="zh-CN"/>
        </w:rPr>
        <w:t>-225.81</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val="en-US" w:eastAsia="zh-CN"/>
        </w:rPr>
        <w:t>特教津贴上调、取暖费上调。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三和小学机关运行经费预算为0万元，主要包括办公及印刷费、邮电费、差旅费、会议费、福利费、日常维修费、专用材料及一般设备购置费、办公用房水电费、办公用房取暖费、办公用房物业管理费、公务用车运行维护费以及其他费用。2022年预算比2021年减少0万元，主要原因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2022年本溪市溪湖区三和小学安排政府采购预算0万元，其中：政府采购货物支出0万元，政府购买服务支出0万元，政府采购工程支出0万元。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2022年，本溪市溪湖区三和小学一般公共预算安排“三公”经费预算为0万元，比2021年减少0万元，下降0%。其中：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2022年本溪市溪湖区三和小学“三公”经费预算表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本溪市溪湖区三和小学共有车辆0台，其中：一般公务用车0台……。其他国有资产情况……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根据预算绩效管理要求，本溪市溪湖区三和小学2022年应编制绩效目标的项目共</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个，涉及资金96.59万元，编制绩效目标的项目覆盖率（实际编制绩效目标的项目/应编制绩效目标的项目）为100%。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0EFE7290"/>
    <w:rsid w:val="1D2F79E3"/>
    <w:rsid w:val="2FD2288C"/>
    <w:rsid w:val="417F4E4F"/>
    <w:rsid w:val="4B821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39</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心音</cp:lastModifiedBy>
  <dcterms:modified xsi:type="dcterms:W3CDTF">2021-12-27T06:17:03Z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1E174ECF00D64DAFAC40088A68FD3743</vt:lpwstr>
  </property>
</Properties>
</file>