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947342">
        <w:rPr>
          <w:rFonts w:ascii="宋体" w:eastAsia="宋体" w:hAnsi="宋体" w:cs="宋体" w:hint="eastAsia"/>
          <w:b/>
          <w:bCs/>
          <w:color w:val="333333"/>
          <w:kern w:val="0"/>
          <w:sz w:val="53"/>
          <w:szCs w:val="53"/>
        </w:rPr>
        <w:t>经济发展服务中心</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947342">
        <w:rPr>
          <w:rFonts w:ascii="宋体" w:eastAsia="宋体" w:hAnsi="宋体" w:cs="宋体" w:hint="eastAsia"/>
          <w:b/>
          <w:bCs/>
          <w:color w:val="333333"/>
          <w:kern w:val="0"/>
          <w:sz w:val="44"/>
          <w:szCs w:val="44"/>
        </w:rPr>
        <w:t>经济发展服务中心</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947342">
        <w:rPr>
          <w:rFonts w:ascii="黑体" w:eastAsia="黑体" w:hAnsi="黑体" w:cs="宋体" w:hint="eastAsia"/>
          <w:color w:val="333333"/>
          <w:kern w:val="0"/>
          <w:sz w:val="32"/>
          <w:szCs w:val="32"/>
        </w:rPr>
        <w:t>经济发展服务中心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947342">
        <w:rPr>
          <w:rFonts w:ascii="黑体" w:eastAsia="黑体" w:hAnsi="黑体" w:cs="宋体" w:hint="eastAsia"/>
          <w:color w:val="333333"/>
          <w:kern w:val="0"/>
          <w:sz w:val="32"/>
          <w:szCs w:val="32"/>
        </w:rPr>
        <w:t>经济发展服务中心</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947342">
        <w:rPr>
          <w:rFonts w:ascii="宋体" w:eastAsia="宋体" w:hAnsi="宋体" w:cs="宋体" w:hint="eastAsia"/>
          <w:b/>
          <w:bCs/>
          <w:color w:val="333333"/>
          <w:kern w:val="0"/>
          <w:sz w:val="36"/>
          <w:szCs w:val="36"/>
        </w:rPr>
        <w:t>经济发展服务中心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（1）</w:t>
      </w:r>
      <w:r>
        <w:rPr>
          <w:rFonts w:ascii="仿宋_GB2312" w:eastAsia="仿宋_GB2312" w:hAnsi="黑体" w:hint="eastAsia"/>
          <w:sz w:val="32"/>
          <w:szCs w:val="32"/>
        </w:rPr>
        <w:t>负责区政府网络、公用信息平台、党政信息网的建设、运行和维护。做好信息化的宣传工作。</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（2）</w:t>
      </w:r>
      <w:r>
        <w:rPr>
          <w:rFonts w:ascii="仿宋_GB2312" w:eastAsia="仿宋_GB2312" w:hAnsi="黑体" w:hint="eastAsia"/>
          <w:sz w:val="32"/>
          <w:szCs w:val="32"/>
        </w:rPr>
        <w:t>为企事业单位和居民提供方便快捷服务。</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（3）</w:t>
      </w:r>
      <w:r>
        <w:rPr>
          <w:rFonts w:ascii="仿宋_GB2312" w:eastAsia="仿宋_GB2312" w:hAnsi="黑体" w:hint="eastAsia"/>
          <w:sz w:val="32"/>
          <w:szCs w:val="32"/>
        </w:rPr>
        <w:t>负责联系和引导各类社会中介机构，为中小企业在人才引进、技术支持、信息咨询、市场开拓、资金融通、对外合作、法律咨询、企业诊断、创业指导、人员培训等方面提供服务，负责对全区中小企业的运行及发展情况实施定期综合分析。</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（4）</w:t>
      </w:r>
      <w:r>
        <w:rPr>
          <w:rFonts w:ascii="仿宋_GB2312" w:eastAsia="仿宋_GB2312" w:hAnsi="黑体" w:hint="eastAsia"/>
          <w:sz w:val="32"/>
          <w:szCs w:val="32"/>
        </w:rPr>
        <w:t>协助做好全区对外贸易促进工作等相关业务，为全区各类企业提供招商引资、合资合作、外贸出口信息。</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（5）</w:t>
      </w:r>
      <w:r>
        <w:rPr>
          <w:rFonts w:ascii="仿宋_GB2312" w:eastAsia="仿宋_GB2312" w:hAnsi="黑体" w:hint="eastAsia"/>
          <w:sz w:val="32"/>
          <w:szCs w:val="32"/>
        </w:rPr>
        <w:t>做好全区各类经济发展项目收集汇总工作，跟进项目进程，协助区发展和</w:t>
      </w:r>
      <w:proofErr w:type="gramStart"/>
      <w:r>
        <w:rPr>
          <w:rFonts w:ascii="仿宋_GB2312" w:eastAsia="仿宋_GB2312" w:hAnsi="黑体" w:hint="eastAsia"/>
          <w:sz w:val="32"/>
          <w:szCs w:val="32"/>
        </w:rPr>
        <w:t>改革局</w:t>
      </w:r>
      <w:proofErr w:type="gramEnd"/>
      <w:r>
        <w:rPr>
          <w:rFonts w:ascii="仿宋_GB2312" w:eastAsia="仿宋_GB2312" w:hAnsi="黑体" w:hint="eastAsia"/>
          <w:sz w:val="32"/>
          <w:szCs w:val="32"/>
        </w:rPr>
        <w:t>做好项目立项备案，推动项目尽快落地实施。</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（6）</w:t>
      </w:r>
      <w:r>
        <w:rPr>
          <w:rFonts w:ascii="仿宋_GB2312" w:eastAsia="仿宋_GB2312" w:hAnsi="黑体" w:hint="eastAsia"/>
          <w:sz w:val="32"/>
          <w:szCs w:val="32"/>
        </w:rPr>
        <w:t>为开展国家、省、市的各项普查工作任务提供服务。</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（7）</w:t>
      </w:r>
      <w:r>
        <w:rPr>
          <w:rFonts w:ascii="仿宋_GB2312" w:eastAsia="仿宋_GB2312" w:hAnsi="黑体" w:hint="eastAsia"/>
          <w:sz w:val="32"/>
          <w:szCs w:val="32"/>
        </w:rPr>
        <w:t>开展农村经济收支、农民收入、农民专业合作社与农村集体经济组织运行情况的统计和调研。</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（8）</w:t>
      </w:r>
      <w:r>
        <w:rPr>
          <w:rFonts w:ascii="仿宋_GB2312" w:eastAsia="仿宋_GB2312" w:hAnsi="黑体" w:hint="eastAsia"/>
          <w:sz w:val="32"/>
          <w:szCs w:val="32"/>
        </w:rPr>
        <w:t>为做好全区动物疫情防控工作提供服务。</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（9）</w:t>
      </w:r>
      <w:r>
        <w:rPr>
          <w:rFonts w:ascii="仿宋_GB2312" w:eastAsia="仿宋_GB2312" w:hAnsi="黑体" w:hint="eastAsia"/>
          <w:sz w:val="32"/>
          <w:szCs w:val="32"/>
        </w:rPr>
        <w:t>开展全区建国以来水库移民的统计、建档工作。</w:t>
      </w:r>
      <w:r>
        <w:rPr>
          <w:rFonts w:ascii="仿宋_GB2312" w:eastAsia="仿宋_GB2312" w:hAnsi="黑体" w:hint="eastAsia"/>
          <w:sz w:val="32"/>
          <w:szCs w:val="32"/>
        </w:rPr>
        <w:lastRenderedPageBreak/>
        <w:t>宣传国家、省、市水库移民后期扶持政策，做好移民安置服务工作。</w:t>
      </w:r>
    </w:p>
    <w:p w:rsidR="00947342" w:rsidRPr="00E92EB8" w:rsidRDefault="00947342" w:rsidP="00947342">
      <w:pPr>
        <w:ind w:firstLineChars="200" w:firstLine="640"/>
        <w:rPr>
          <w:rFonts w:ascii="仿宋_GB2312" w:eastAsia="仿宋_GB2312" w:hAnsi="黑体"/>
          <w:sz w:val="32"/>
          <w:szCs w:val="32"/>
        </w:rPr>
      </w:pPr>
      <w:r w:rsidRPr="00E92EB8">
        <w:rPr>
          <w:rFonts w:ascii="仿宋_GB2312" w:eastAsia="仿宋_GB2312" w:hAnsi="黑体" w:hint="eastAsia"/>
          <w:sz w:val="32"/>
          <w:szCs w:val="32"/>
        </w:rPr>
        <w:t>（10）</w:t>
      </w:r>
      <w:r>
        <w:rPr>
          <w:rFonts w:ascii="仿宋_GB2312" w:eastAsia="仿宋_GB2312" w:hAnsi="黑体" w:hint="eastAsia"/>
          <w:sz w:val="32"/>
          <w:szCs w:val="32"/>
        </w:rPr>
        <w:t>负责全区水资源开发、利用、节约、保护等综合服务工作；负责全区计划用水、节约用水和节水技术的推广工作。</w:t>
      </w:r>
    </w:p>
    <w:p w:rsidR="001770E9" w:rsidRPr="001770E9" w:rsidRDefault="00947342" w:rsidP="00947342">
      <w:pPr>
        <w:keepLines/>
        <w:widowControl/>
        <w:shd w:val="clear" w:color="auto" w:fill="FFFFFF"/>
        <w:ind w:firstLine="645"/>
        <w:jc w:val="left"/>
        <w:rPr>
          <w:rFonts w:ascii="微软雅黑" w:eastAsia="微软雅黑" w:hAnsi="微软雅黑" w:cs="宋体"/>
          <w:color w:val="333333"/>
          <w:kern w:val="0"/>
          <w:sz w:val="24"/>
          <w:szCs w:val="24"/>
        </w:rPr>
      </w:pPr>
      <w:r w:rsidRPr="00E92EB8">
        <w:rPr>
          <w:rFonts w:ascii="仿宋_GB2312" w:eastAsia="仿宋_GB2312" w:hAnsi="黑体" w:hint="eastAsia"/>
          <w:sz w:val="32"/>
          <w:szCs w:val="32"/>
        </w:rPr>
        <w:t>（11）</w:t>
      </w:r>
      <w:r>
        <w:rPr>
          <w:rFonts w:ascii="仿宋_GB2312" w:eastAsia="仿宋_GB2312" w:hAnsi="黑体" w:hint="eastAsia"/>
          <w:sz w:val="32"/>
          <w:szCs w:val="32"/>
        </w:rPr>
        <w:t>承担全区一、二、三产业发展提供服务、保障、支撑职能。</w:t>
      </w:r>
      <w:r w:rsidR="001770E9">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947342">
        <w:rPr>
          <w:rFonts w:ascii="仿宋_GB2312" w:eastAsia="仿宋_GB2312" w:hint="eastAsia"/>
          <w:sz w:val="32"/>
          <w:szCs w:val="32"/>
        </w:rPr>
        <w:t>本溪市溪湖区经济发展服务中心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947342">
        <w:rPr>
          <w:rFonts w:ascii="宋体" w:eastAsia="宋体" w:hAnsi="宋体" w:cs="宋体" w:hint="eastAsia"/>
          <w:b/>
          <w:bCs/>
          <w:color w:val="333333"/>
          <w:kern w:val="0"/>
          <w:sz w:val="36"/>
          <w:szCs w:val="36"/>
        </w:rPr>
        <w:t>经济发展服务中心</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947342">
        <w:rPr>
          <w:rFonts w:ascii="仿宋_GB2312" w:eastAsia="仿宋_GB2312" w:hAnsi="微软雅黑" w:cs="宋体" w:hint="eastAsia"/>
          <w:b/>
          <w:bCs/>
          <w:color w:val="333333"/>
          <w:kern w:val="0"/>
          <w:sz w:val="32"/>
          <w:szCs w:val="32"/>
        </w:rPr>
        <w:t>728.01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947342">
        <w:rPr>
          <w:rFonts w:ascii="仿宋_GB2312" w:eastAsia="仿宋_GB2312" w:hAnsi="微软雅黑" w:cs="宋体" w:hint="eastAsia"/>
          <w:color w:val="333333"/>
          <w:kern w:val="0"/>
          <w:sz w:val="32"/>
          <w:szCs w:val="32"/>
        </w:rPr>
        <w:t>728.01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947342">
        <w:rPr>
          <w:rFonts w:ascii="仿宋_GB2312" w:eastAsia="仿宋_GB2312" w:hAnsi="微软雅黑" w:cs="宋体" w:hint="eastAsia"/>
          <w:b/>
          <w:bCs/>
          <w:color w:val="333333"/>
          <w:kern w:val="0"/>
          <w:sz w:val="32"/>
          <w:szCs w:val="32"/>
        </w:rPr>
        <w:t>728.01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947342">
        <w:rPr>
          <w:rFonts w:ascii="仿宋_GB2312" w:eastAsia="仿宋_GB2312" w:hAnsi="微软雅黑" w:cs="宋体" w:hint="eastAsia"/>
          <w:color w:val="333333"/>
          <w:kern w:val="0"/>
          <w:sz w:val="32"/>
          <w:szCs w:val="32"/>
        </w:rPr>
        <w:t>728.01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947342">
        <w:rPr>
          <w:rFonts w:ascii="仿宋_GB2312" w:eastAsia="仿宋_GB2312" w:hAnsi="微软雅黑" w:cs="宋体" w:hint="eastAsia"/>
          <w:color w:val="333333"/>
          <w:kern w:val="0"/>
          <w:sz w:val="32"/>
          <w:szCs w:val="32"/>
        </w:rPr>
        <w:t>60.05</w:t>
      </w:r>
      <w:r w:rsidRPr="001770E9">
        <w:rPr>
          <w:rFonts w:ascii="仿宋_GB2312" w:eastAsia="仿宋_GB2312" w:hAnsi="微软雅黑" w:cs="宋体" w:hint="eastAsia"/>
          <w:color w:val="333333"/>
          <w:kern w:val="0"/>
          <w:sz w:val="32"/>
          <w:szCs w:val="32"/>
        </w:rPr>
        <w:t>万元，增减变化的主要原因为</w:t>
      </w:r>
      <w:r w:rsidR="00947342">
        <w:rPr>
          <w:rFonts w:ascii="仿宋_GB2312" w:eastAsia="仿宋_GB2312" w:hAnsi="微软雅黑" w:cs="宋体" w:hint="eastAsia"/>
          <w:color w:val="333333"/>
          <w:kern w:val="0"/>
          <w:sz w:val="32"/>
          <w:szCs w:val="32"/>
        </w:rPr>
        <w:t>人员减少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机关运行经费预算为</w:t>
      </w:r>
      <w:r w:rsidR="00947342">
        <w:rPr>
          <w:rFonts w:ascii="仿宋_GB2312" w:eastAsia="仿宋_GB2312" w:hAnsi="微软雅黑" w:cs="宋体" w:hint="eastAsia"/>
          <w:color w:val="333333"/>
          <w:kern w:val="0"/>
          <w:sz w:val="32"/>
          <w:szCs w:val="32"/>
        </w:rPr>
        <w:t>24.77</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sidR="00947342">
        <w:rPr>
          <w:rFonts w:ascii="仿宋_GB2312" w:eastAsia="仿宋_GB2312" w:hAnsi="微软雅黑" w:cs="宋体" w:hint="eastAsia"/>
          <w:color w:val="333333"/>
          <w:kern w:val="0"/>
          <w:sz w:val="32"/>
          <w:szCs w:val="32"/>
        </w:rPr>
        <w:t>1.34</w:t>
      </w:r>
      <w:r w:rsidRPr="001770E9">
        <w:rPr>
          <w:rFonts w:ascii="仿宋_GB2312" w:eastAsia="仿宋_GB2312" w:hAnsi="微软雅黑" w:cs="宋体" w:hint="eastAsia"/>
          <w:color w:val="333333"/>
          <w:kern w:val="0"/>
          <w:sz w:val="32"/>
          <w:szCs w:val="32"/>
        </w:rPr>
        <w:t>万元，主要原因是</w:t>
      </w:r>
      <w:r w:rsidR="00947342">
        <w:rPr>
          <w:rFonts w:ascii="仿宋_GB2312" w:eastAsia="仿宋_GB2312" w:hAnsi="微软雅黑" w:cs="宋体" w:hint="eastAsia"/>
          <w:color w:val="333333"/>
          <w:kern w:val="0"/>
          <w:sz w:val="32"/>
          <w:szCs w:val="32"/>
        </w:rPr>
        <w:t>人员减少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安排政府采购预算</w:t>
      </w:r>
      <w:r w:rsidR="00947342">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947342">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一般公共预算安排“三公”经费预算为</w:t>
      </w:r>
      <w:r w:rsidR="00947342">
        <w:rPr>
          <w:rFonts w:ascii="仿宋_GB2312" w:eastAsia="仿宋_GB2312" w:hAnsi="微软雅黑" w:cs="宋体" w:hint="eastAsia"/>
          <w:color w:val="333333"/>
          <w:kern w:val="0"/>
          <w:sz w:val="32"/>
          <w:szCs w:val="32"/>
        </w:rPr>
        <w:t>0.89</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947342">
        <w:rPr>
          <w:rFonts w:ascii="仿宋_GB2312" w:eastAsia="仿宋_GB2312" w:hAnsi="微软雅黑" w:cs="宋体" w:hint="eastAsia"/>
          <w:color w:val="333333"/>
          <w:kern w:val="0"/>
          <w:sz w:val="32"/>
          <w:szCs w:val="32"/>
        </w:rPr>
        <w:t>0.89</w:t>
      </w:r>
      <w:r w:rsidRPr="001770E9">
        <w:rPr>
          <w:rFonts w:ascii="仿宋_GB2312" w:eastAsia="仿宋_GB2312" w:hAnsi="微软雅黑" w:cs="宋体" w:hint="eastAsia"/>
          <w:color w:val="333333"/>
          <w:kern w:val="0"/>
          <w:sz w:val="32"/>
          <w:szCs w:val="32"/>
        </w:rPr>
        <w:t>万元，比2020年减少</w:t>
      </w:r>
      <w:r w:rsidR="00947342">
        <w:rPr>
          <w:rFonts w:ascii="仿宋_GB2312" w:eastAsia="仿宋_GB2312" w:hAnsi="微软雅黑" w:cs="宋体" w:hint="eastAsia"/>
          <w:color w:val="333333"/>
          <w:kern w:val="0"/>
          <w:sz w:val="32"/>
          <w:szCs w:val="32"/>
        </w:rPr>
        <w:t>0.09</w:t>
      </w:r>
      <w:r w:rsidRPr="001770E9">
        <w:rPr>
          <w:rFonts w:ascii="仿宋_GB2312" w:eastAsia="仿宋_GB2312" w:hAnsi="微软雅黑" w:cs="宋体" w:hint="eastAsia"/>
          <w:color w:val="333333"/>
          <w:kern w:val="0"/>
          <w:sz w:val="32"/>
          <w:szCs w:val="32"/>
        </w:rPr>
        <w:t>万元，主要原因是减少</w:t>
      </w:r>
      <w:r w:rsidR="00947342">
        <w:rPr>
          <w:rFonts w:ascii="仿宋_GB2312" w:eastAsia="仿宋_GB2312" w:hAnsi="微软雅黑" w:cs="宋体" w:hint="eastAsia"/>
          <w:color w:val="333333"/>
          <w:kern w:val="0"/>
          <w:sz w:val="32"/>
          <w:szCs w:val="32"/>
        </w:rPr>
        <w:t>9</w:t>
      </w:r>
      <w:r w:rsidRPr="001770E9">
        <w:rPr>
          <w:rFonts w:ascii="仿宋_GB2312" w:eastAsia="仿宋_GB2312" w:hAnsi="微软雅黑" w:cs="宋体" w:hint="eastAsia"/>
          <w:color w:val="333333"/>
          <w:kern w:val="0"/>
          <w:sz w:val="32"/>
          <w:szCs w:val="32"/>
        </w:rPr>
        <w:t>人。</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947342" w:rsidRDefault="00947342"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947342" w:rsidRPr="001770E9" w:rsidRDefault="00947342"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947342">
        <w:rPr>
          <w:rFonts w:ascii="仿宋_GB2312" w:eastAsia="仿宋_GB2312" w:hAnsi="微软雅黑" w:cs="宋体" w:hint="eastAsia"/>
          <w:b/>
          <w:bCs/>
          <w:color w:val="333333"/>
          <w:kern w:val="0"/>
          <w:sz w:val="32"/>
          <w:szCs w:val="32"/>
        </w:rPr>
        <w:t>经济发展服务中心</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947342" w:rsidRPr="001770E9" w:rsidTr="004020F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7342" w:rsidRPr="001770E9" w:rsidRDefault="00947342"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tcPr>
          <w:p w:rsidR="00947342" w:rsidRPr="00D00E69" w:rsidRDefault="00947342" w:rsidP="00947342">
            <w:pPr>
              <w:jc w:val="right"/>
            </w:pPr>
            <w:r w:rsidRPr="00D00E69">
              <w:t>0.98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tcPr>
          <w:p w:rsidR="00947342" w:rsidRPr="00D00E69" w:rsidRDefault="00947342" w:rsidP="00947342">
            <w:pPr>
              <w:jc w:val="right"/>
            </w:pPr>
            <w:r w:rsidRPr="00D00E69">
              <w:t>0.89</w:t>
            </w:r>
          </w:p>
        </w:tc>
      </w:tr>
      <w:tr w:rsidR="00947342" w:rsidRPr="001770E9" w:rsidTr="004020F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947342" w:rsidRPr="001770E9" w:rsidRDefault="00947342"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947342" w:rsidRPr="00D00E69" w:rsidRDefault="00947342" w:rsidP="00947342">
            <w:pPr>
              <w:jc w:val="right"/>
            </w:pPr>
            <w:r w:rsidRPr="00D00E69">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7342" w:rsidRPr="00D00E69" w:rsidRDefault="00947342" w:rsidP="00947342">
            <w:pPr>
              <w:jc w:val="right"/>
            </w:pPr>
            <w:r w:rsidRPr="00D00E69">
              <w:t>0.00</w:t>
            </w:r>
          </w:p>
        </w:tc>
      </w:tr>
      <w:tr w:rsidR="00947342" w:rsidRPr="001770E9" w:rsidTr="004020F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947342" w:rsidRPr="001770E9" w:rsidRDefault="00947342"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947342" w:rsidRPr="00D00E69" w:rsidRDefault="00947342" w:rsidP="00947342">
            <w:pPr>
              <w:jc w:val="right"/>
            </w:pPr>
            <w:r w:rsidRPr="00D00E69">
              <w:t>0.98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947342" w:rsidRPr="00D00E69" w:rsidRDefault="00947342" w:rsidP="00947342">
            <w:pPr>
              <w:jc w:val="right"/>
            </w:pPr>
            <w:r w:rsidRPr="00D00E69">
              <w:t>0.89</w:t>
            </w:r>
          </w:p>
        </w:tc>
      </w:tr>
      <w:tr w:rsidR="00947342" w:rsidRPr="001770E9" w:rsidTr="004020F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947342" w:rsidRPr="001770E9" w:rsidRDefault="00947342"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tcPr>
          <w:p w:rsidR="00947342" w:rsidRPr="00D00E69" w:rsidRDefault="00947342" w:rsidP="00947342">
            <w:pPr>
              <w:jc w:val="right"/>
            </w:pPr>
            <w:r w:rsidRPr="00D00E69">
              <w:t>0.00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tcPr>
          <w:p w:rsidR="00947342" w:rsidRPr="00D00E69" w:rsidRDefault="00947342" w:rsidP="00947342">
            <w:pPr>
              <w:jc w:val="right"/>
            </w:pPr>
            <w:r w:rsidRPr="00D00E69">
              <w:t>0.00</w:t>
            </w:r>
          </w:p>
        </w:tc>
      </w:tr>
      <w:tr w:rsidR="00947342" w:rsidRPr="001770E9" w:rsidTr="004020F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947342" w:rsidRPr="001770E9" w:rsidRDefault="00947342"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947342" w:rsidRPr="00D00E69" w:rsidRDefault="00947342" w:rsidP="00947342">
            <w:pPr>
              <w:jc w:val="right"/>
            </w:pPr>
            <w:r w:rsidRPr="00D00E69">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7342" w:rsidRPr="00D00E69" w:rsidRDefault="00947342" w:rsidP="00947342">
            <w:pPr>
              <w:jc w:val="right"/>
            </w:pPr>
            <w:r w:rsidRPr="00D00E69">
              <w:t>0.00</w:t>
            </w:r>
          </w:p>
        </w:tc>
      </w:tr>
      <w:tr w:rsidR="00947342" w:rsidRPr="001770E9" w:rsidTr="004020F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947342" w:rsidRPr="001770E9" w:rsidRDefault="00947342"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947342" w:rsidRPr="00D00E69" w:rsidRDefault="00947342" w:rsidP="00947342">
            <w:pPr>
              <w:jc w:val="right"/>
            </w:pPr>
            <w:r w:rsidRPr="00D00E69">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947342" w:rsidRPr="00D00E69" w:rsidRDefault="00947342" w:rsidP="00947342">
            <w:pPr>
              <w:jc w:val="right"/>
            </w:pPr>
            <w:r w:rsidRPr="00D00E69">
              <w:t>0.00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947342">
        <w:rPr>
          <w:rFonts w:ascii="仿宋_GB2312" w:eastAsia="仿宋_GB2312" w:hAnsi="微软雅黑" w:cs="宋体" w:hint="eastAsia"/>
          <w:color w:val="333333"/>
          <w:kern w:val="0"/>
          <w:sz w:val="32"/>
          <w:szCs w:val="32"/>
        </w:rPr>
        <w:t>经济发展服务中心</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947342"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bookmarkStart w:id="0" w:name="_GoBack"/>
            <w:bookmarkEnd w:id="0"/>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947342"/>
    <w:rsid w:val="00B218D5"/>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742</Words>
  <Characters>4231</Characters>
  <Application>Microsoft Office Word</Application>
  <DocSecurity>0</DocSecurity>
  <Lines>35</Lines>
  <Paragraphs>9</Paragraphs>
  <ScaleCrop>false</ScaleCrop>
  <Company>china</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2021-06-10T06:12:00Z</dcterms:created>
  <dcterms:modified xsi:type="dcterms:W3CDTF">2021-08-13T01:09:00Z</dcterms:modified>
</cp:coreProperties>
</file>