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lang w:eastAsia="zh-CN"/>
        </w:rPr>
        <w:t>中国共产党本溪市溪湖区纪律检查委员会</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微软雅黑" w:cs="宋体"/>
          <w:color w:val="333333"/>
          <w:kern w:val="0"/>
          <w:sz w:val="24"/>
          <w:szCs w:val="24"/>
          <w:lang w:eastAsia="zh-CN"/>
        </w:rPr>
      </w:pPr>
      <w:r>
        <w:rPr>
          <w:rFonts w:hint="eastAsia" w:ascii="宋体" w:hAnsi="宋体" w:eastAsia="宋体" w:cs="宋体"/>
          <w:b/>
          <w:bCs/>
          <w:color w:val="333333"/>
          <w:kern w:val="0"/>
          <w:sz w:val="44"/>
          <w:szCs w:val="44"/>
          <w:lang w:eastAsia="zh-CN"/>
        </w:rPr>
        <w:t>中国共产党本溪市溪湖区纪律检查委员会</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中国共产党本溪市溪湖区纪律检查委员会概况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中国共产党本溪市溪湖区纪律检查委员会2021年部门预算情况说明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w:t>
      </w:r>
      <w:r>
        <w:rPr>
          <w:rFonts w:hint="eastAsia" w:ascii="仿宋_GB2312" w:hAnsi="微软雅黑" w:eastAsia="仿宋_GB2312" w:cs="宋体"/>
          <w:color w:val="333333"/>
          <w:kern w:val="0"/>
          <w:sz w:val="32"/>
          <w:szCs w:val="32"/>
          <w:lang w:eastAsia="zh-CN"/>
        </w:rPr>
        <w:t>中国共产党本溪市溪湖区纪律检查委员会</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 xml:space="preserve">第二部分 </w:t>
      </w:r>
      <w:r>
        <w:rPr>
          <w:rFonts w:hint="eastAsia" w:ascii="宋体" w:hAnsi="宋体" w:eastAsia="宋体" w:cs="宋体"/>
          <w:b/>
          <w:bCs/>
          <w:color w:val="333333"/>
          <w:kern w:val="0"/>
          <w:sz w:val="36"/>
          <w:szCs w:val="36"/>
          <w:lang w:eastAsia="zh-CN"/>
        </w:rPr>
        <w:t>中国共产党本溪市溪湖区纪律检查委员会</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xml:space="preserve"> 第一条根据《中国共产党章程》《中华人民共和国宪法》《中华人民共和国监察法》及《中共辽宁省委办公</w:t>
      </w:r>
      <w:r>
        <w:rPr>
          <w:rFonts w:hint="eastAsia" w:ascii="仿宋_GB2312" w:hAnsi="仿宋_GB2312" w:eastAsia="仿宋_GB2312" w:cs="仿宋_GB2312"/>
          <w:color w:val="333333"/>
          <w:kern w:val="0"/>
          <w:sz w:val="32"/>
          <w:szCs w:val="32"/>
          <w:lang w:eastAsia="zh-CN"/>
        </w:rPr>
        <w:t>厅</w:t>
      </w:r>
      <w:r>
        <w:rPr>
          <w:rFonts w:hint="eastAsia" w:ascii="仿宋_GB2312" w:hAnsi="仿宋_GB2312" w:eastAsia="仿宋_GB2312" w:cs="仿宋_GB2312"/>
          <w:color w:val="333333"/>
          <w:kern w:val="0"/>
          <w:sz w:val="32"/>
          <w:szCs w:val="32"/>
        </w:rPr>
        <w:t>辽宁省人民政府办公厅关于印发本溪市县(市、区)机构改革方案的通知》制定本规定</w:t>
      </w:r>
      <w:r>
        <w:rPr>
          <w:rFonts w:hint="eastAsia" w:ascii="仿宋_GB2312" w:hAnsi="仿宋_GB2312" w:eastAsia="仿宋_GB2312" w:cs="仿宋_GB2312"/>
          <w:color w:val="333333"/>
          <w:kern w:val="0"/>
          <w:sz w:val="32"/>
          <w:szCs w:val="32"/>
          <w:lang w:eastAsia="zh-CN"/>
        </w:rPr>
        <w:t>。</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二条中共溪湖区纪律检査委员会(以下简称区纪委)由党的溪湖区代表大会选举产生，溪湖区监察委员会(以下简称区监委)由溪湖区人民代表大会产生。区纪委与区监委合署办公，实行一套工作机构、两个机关名称，履行党的纪律</w:t>
      </w:r>
      <w:r>
        <w:rPr>
          <w:rFonts w:hint="eastAsia" w:ascii="仿宋_GB2312" w:hAnsi="仿宋_GB2312" w:eastAsia="仿宋_GB2312" w:cs="仿宋_GB2312"/>
          <w:color w:val="333333"/>
          <w:kern w:val="0"/>
          <w:sz w:val="32"/>
          <w:szCs w:val="32"/>
          <w:lang w:eastAsia="zh-CN"/>
        </w:rPr>
        <w:t>检查</w:t>
      </w:r>
      <w:r>
        <w:rPr>
          <w:rFonts w:hint="eastAsia" w:ascii="仿宋_GB2312" w:hAnsi="仿宋_GB2312" w:eastAsia="仿宋_GB2312" w:cs="仿宋_GB2312"/>
          <w:color w:val="333333"/>
          <w:kern w:val="0"/>
          <w:sz w:val="32"/>
          <w:szCs w:val="32"/>
        </w:rPr>
        <w:t>和国家监察两项职责。区纪委在区委和市纪委双重领导下进行工作，区监委对溪湖区人民代表大会及其常务委员会和本溪市监察委员会负责，并接受其监督。在党中央集中统一领导下，区纪委监委加强对下级纪检监察机构的领导。</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第三条区纪委监委的主要职责是：</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负责全区党的纪律检査工作。贯落实党中央、省委、市委、区委关于纪律检查工作的决定，维护党的章程和其他党内法规，党的路线方针政策和决议的执行情况，协助区委推进全面从严治党、加强党风廉政建设和组织协调反腐败工作</w:t>
      </w:r>
      <w:r>
        <w:rPr>
          <w:rFonts w:hint="eastAsia" w:ascii="仿宋_GB2312" w:hAnsi="仿宋_GB2312" w:eastAsia="仿宋_GB2312" w:cs="仿宋_GB2312"/>
          <w:color w:val="333333"/>
          <w:kern w:val="0"/>
          <w:sz w:val="32"/>
          <w:szCs w:val="32"/>
          <w:lang w:eastAsia="zh-CN"/>
        </w:rPr>
        <w:t>。</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（二）</w:t>
      </w:r>
      <w:r>
        <w:rPr>
          <w:rFonts w:hint="eastAsia" w:ascii="仿宋_GB2312" w:hAnsi="仿宋_GB2312" w:eastAsia="仿宋_GB2312" w:cs="仿宋_GB2312"/>
          <w:color w:val="333333"/>
          <w:kern w:val="0"/>
          <w:sz w:val="32"/>
          <w:szCs w:val="32"/>
        </w:rPr>
        <w:t>依照党的章程和其他党内法规行监督、执纪、问责职责</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负责经常对党员进行遵守纪律的教育，作出关于维护党纪的决定;对区委工作部门、区委批准设立的党组(党委)，各街道党工委、纪委等党的组织和区委管理的党员领导部</w:t>
      </w:r>
      <w:r>
        <w:rPr>
          <w:rFonts w:hint="eastAsia" w:ascii="仿宋_GB2312" w:hAnsi="仿宋_GB2312" w:eastAsia="仿宋_GB2312" w:cs="仿宋_GB2312"/>
          <w:color w:val="333333"/>
          <w:kern w:val="0"/>
          <w:sz w:val="32"/>
          <w:szCs w:val="32"/>
          <w:lang w:eastAsia="zh-CN"/>
        </w:rPr>
        <w:t>门</w:t>
      </w:r>
      <w:r>
        <w:rPr>
          <w:rFonts w:hint="eastAsia" w:ascii="仿宋_GB2312" w:hAnsi="仿宋_GB2312" w:eastAsia="仿宋_GB2312" w:cs="仿宋_GB2312"/>
          <w:color w:val="333333"/>
          <w:kern w:val="0"/>
          <w:sz w:val="32"/>
          <w:szCs w:val="32"/>
        </w:rPr>
        <w:t>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w:t>
      </w:r>
      <w:r>
        <w:rPr>
          <w:rFonts w:hint="eastAsia" w:ascii="仿宋_GB2312" w:hAnsi="仿宋_GB2312" w:eastAsia="仿宋_GB2312" w:cs="仿宋_GB2312"/>
          <w:color w:val="333333"/>
          <w:kern w:val="0"/>
          <w:sz w:val="32"/>
          <w:szCs w:val="32"/>
          <w:lang w:eastAsia="zh-CN"/>
        </w:rPr>
        <w:t>追</w:t>
      </w:r>
      <w:r>
        <w:rPr>
          <w:rFonts w:hint="eastAsia" w:ascii="仿宋_GB2312" w:hAnsi="仿宋_GB2312" w:eastAsia="仿宋_GB2312" w:cs="仿宋_GB2312"/>
          <w:color w:val="333333"/>
          <w:kern w:val="0"/>
          <w:sz w:val="32"/>
          <w:szCs w:val="32"/>
        </w:rPr>
        <w:t>究的建议，受理党员的控告和申诉，保障党员的权利。</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（三）</w:t>
      </w:r>
      <w:r>
        <w:rPr>
          <w:rFonts w:hint="eastAsia" w:ascii="仿宋_GB2312" w:hAnsi="仿宋_GB2312" w:eastAsia="仿宋_GB2312" w:cs="仿宋_GB2312"/>
          <w:color w:val="333333"/>
          <w:kern w:val="0"/>
          <w:sz w:val="32"/>
          <w:szCs w:val="32"/>
        </w:rPr>
        <w:t>负责全区监察工作。贯彻落实党中央、省委、市委、区委关于监察工作的决定，维护宪法法律，依法对区委管理的行使公权力的公职人员进行监察，调查职务违法和职务犯罪，开展廉政建设和反腐败工作。</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依照法律规定履行监督、调查、处置职责。推动开展廉政教育，对区委管理的行使公权力的公职人员依法履职、秉公用权、廉洁从政从业以及道徳操守情况进行监督检查;对涉嫌贪污贿赂、滥用职权、玩忽职守、权力寻租、利益输送、徇私舞弊以及浪费国家资财等职务违法和职务犯罪进行调査;对违法的公职人员依法作出政务处分决定;对履行职责不力、失职失责的领导人员进行问责;对涉嫌职务犯罪的，将调查结果移送人民检察院依法审査、提起公诉;向监察对象所在单位提出监察建议。</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(五)负责组织协调全面从严治党、党风廉政建设和反腐败宣传教育工作。</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(六)负责综合分析全面从严治党、党风廉政建设和反腐败工作情况，对纪检监察工作重要理论及实践问</w:t>
      </w:r>
      <w:r>
        <w:rPr>
          <w:rFonts w:hint="eastAsia" w:ascii="仿宋_GB2312" w:hAnsi="仿宋_GB2312" w:eastAsia="仿宋_GB2312" w:cs="仿宋_GB2312"/>
          <w:color w:val="333333"/>
          <w:kern w:val="0"/>
          <w:sz w:val="32"/>
          <w:szCs w:val="32"/>
          <w:lang w:eastAsia="zh-CN"/>
        </w:rPr>
        <w:t>题</w:t>
      </w:r>
      <w:r>
        <w:rPr>
          <w:rFonts w:hint="eastAsia" w:ascii="仿宋_GB2312" w:hAnsi="仿宋_GB2312" w:eastAsia="仿宋_GB2312" w:cs="仿宋_GB2312"/>
          <w:color w:val="333333"/>
          <w:kern w:val="0"/>
          <w:sz w:val="32"/>
          <w:szCs w:val="32"/>
        </w:rPr>
        <w:t>进行调查研究，制定或者修改本区纪检监察工作制度。</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根据干部管理权限，负责纪检监察系统领导班子建设、干部队伍建设和组织建设的综合规划、政策研究、制度建设和业务指导，会同有关方面做好区纪委监委派驻(出)机构、区管企业有关工作，组织和指导纪检监察干部教育培训工作。</w:t>
      </w:r>
    </w:p>
    <w:p>
      <w:pPr>
        <w:keepLines/>
        <w:widowControl/>
        <w:shd w:val="clear" w:color="auto" w:fill="FFFFFF"/>
        <w:ind w:firstLine="645"/>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(八)完成市纪委监委和区委交办的其他任务。</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w:t>
      </w:r>
      <w:r>
        <w:rPr>
          <w:rFonts w:hint="eastAsia" w:ascii="仿宋_GB2312" w:hAnsi="微软雅黑" w:eastAsia="仿宋_GB2312" w:cs="宋体"/>
          <w:color w:val="333333"/>
          <w:kern w:val="0"/>
          <w:sz w:val="32"/>
          <w:szCs w:val="32"/>
          <w:lang w:eastAsia="zh-CN"/>
        </w:rPr>
        <w:t>中国共产党本溪市溪湖区纪律检查委员会</w:t>
      </w:r>
      <w:r>
        <w:rPr>
          <w:rFonts w:hint="eastAsia" w:ascii="仿宋_GB2312" w:hAnsi="微软雅黑" w:eastAsia="仿宋_GB2312" w:cs="宋体"/>
          <w:color w:val="333333"/>
          <w:kern w:val="0"/>
          <w:sz w:val="32"/>
          <w:szCs w:val="32"/>
        </w:rPr>
        <w:t>2021年部门预算编制范围的二级预算单位包括：</w:t>
      </w:r>
    </w:p>
    <w:p>
      <w:pPr>
        <w:keepNext w:val="0"/>
        <w:keepLines/>
        <w:pageBreakBefore w:val="0"/>
        <w:widowControl/>
        <w:shd w:val="clear" w:color="auto" w:fill="FFFFFF"/>
        <w:kinsoku/>
        <w:wordWrap/>
        <w:overflowPunct/>
        <w:topLinePunct w:val="0"/>
        <w:autoSpaceDE/>
        <w:autoSpaceDN/>
        <w:bidi w:val="0"/>
        <w:adjustRightInd/>
        <w:snapToGrid/>
        <w:ind w:firstLine="640" w:firstLineChars="200"/>
        <w:jc w:val="left"/>
        <w:textAlignment w:val="auto"/>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中国共产党本溪市溪湖区纪律检查委员会</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bookmarkStart w:id="1" w:name="_GoBack"/>
      <w:bookmarkEnd w:id="1"/>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w:t>
      </w:r>
      <w:r>
        <w:rPr>
          <w:rFonts w:hint="eastAsia" w:ascii="宋体" w:hAnsi="宋体" w:eastAsia="宋体" w:cs="宋体"/>
          <w:b/>
          <w:bCs/>
          <w:color w:val="333333"/>
          <w:kern w:val="0"/>
          <w:sz w:val="36"/>
          <w:szCs w:val="36"/>
          <w:lang w:eastAsia="zh-CN"/>
        </w:rPr>
        <w:t>中国共产党本溪市溪湖区纪律检查委员会</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按照综合预算的原则，中国共产党本溪市溪湖区纪律检查委员会所有收入和支出均纳入部门预算管理。其中：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566.98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566.98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566.98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highlight w:val="none"/>
        </w:rPr>
      </w:pPr>
      <w:r>
        <w:rPr>
          <w:rFonts w:hint="eastAsia" w:ascii="仿宋_GB2312" w:hAnsi="微软雅黑" w:eastAsia="仿宋_GB2312" w:cs="宋体"/>
          <w:color w:val="333333"/>
          <w:kern w:val="0"/>
          <w:sz w:val="32"/>
          <w:szCs w:val="32"/>
          <w:highlight w:val="none"/>
        </w:rPr>
        <w:t>1.基本支出</w:t>
      </w:r>
      <w:r>
        <w:rPr>
          <w:rFonts w:hint="eastAsia" w:ascii="仿宋_GB2312" w:hAnsi="微软雅黑" w:eastAsia="仿宋_GB2312" w:cs="宋体"/>
          <w:color w:val="333333"/>
          <w:kern w:val="0"/>
          <w:sz w:val="32"/>
          <w:szCs w:val="32"/>
          <w:highlight w:val="none"/>
          <w:lang w:val="en-US" w:eastAsia="zh-CN"/>
        </w:rPr>
        <w:t>528.98</w:t>
      </w:r>
      <w:r>
        <w:rPr>
          <w:rFonts w:hint="eastAsia" w:ascii="仿宋_GB2312" w:hAnsi="微软雅黑" w:eastAsia="仿宋_GB2312" w:cs="宋体"/>
          <w:color w:val="333333"/>
          <w:kern w:val="0"/>
          <w:sz w:val="32"/>
          <w:szCs w:val="32"/>
          <w:highlight w:val="none"/>
        </w:rPr>
        <w:t>万元；</w:t>
      </w:r>
    </w:p>
    <w:p>
      <w:pPr>
        <w:keepLines/>
        <w:widowControl/>
        <w:shd w:val="clear" w:color="auto" w:fill="FFFFFF"/>
        <w:ind w:firstLine="660"/>
        <w:jc w:val="left"/>
        <w:rPr>
          <w:rFonts w:ascii="微软雅黑" w:hAnsi="微软雅黑" w:eastAsia="微软雅黑" w:cs="宋体"/>
          <w:color w:val="333333"/>
          <w:kern w:val="0"/>
          <w:sz w:val="24"/>
          <w:szCs w:val="24"/>
          <w:highlight w:val="none"/>
        </w:rPr>
      </w:pPr>
      <w:r>
        <w:rPr>
          <w:rFonts w:hint="eastAsia" w:ascii="仿宋_GB2312" w:hAnsi="微软雅黑" w:eastAsia="仿宋_GB2312" w:cs="宋体"/>
          <w:color w:val="333333"/>
          <w:kern w:val="0"/>
          <w:sz w:val="32"/>
          <w:szCs w:val="32"/>
          <w:highlight w:val="none"/>
        </w:rPr>
        <w:t>2.项目支出</w:t>
      </w:r>
      <w:r>
        <w:rPr>
          <w:rFonts w:hint="eastAsia" w:ascii="仿宋_GB2312" w:hAnsi="微软雅黑" w:eastAsia="仿宋_GB2312" w:cs="宋体"/>
          <w:color w:val="333333"/>
          <w:kern w:val="0"/>
          <w:sz w:val="32"/>
          <w:szCs w:val="32"/>
          <w:highlight w:val="none"/>
          <w:lang w:val="en-US" w:eastAsia="zh-CN"/>
        </w:rPr>
        <w:t>38</w:t>
      </w:r>
      <w:r>
        <w:rPr>
          <w:rFonts w:hint="eastAsia" w:ascii="仿宋_GB2312" w:hAnsi="微软雅黑" w:eastAsia="仿宋_GB2312" w:cs="宋体"/>
          <w:color w:val="333333"/>
          <w:kern w:val="0"/>
          <w:sz w:val="32"/>
          <w:szCs w:val="32"/>
          <w:highlight w:val="none"/>
        </w:rPr>
        <w:t>万元；</w:t>
      </w:r>
    </w:p>
    <w:p>
      <w:pPr>
        <w:keepLines/>
        <w:widowControl/>
        <w:shd w:val="clear" w:color="auto" w:fill="FFFFFF"/>
        <w:ind w:firstLine="645"/>
        <w:jc w:val="left"/>
        <w:rPr>
          <w:rFonts w:ascii="微软雅黑" w:hAnsi="微软雅黑" w:eastAsia="微软雅黑" w:cs="宋体"/>
          <w:color w:val="333333"/>
          <w:kern w:val="0"/>
          <w:sz w:val="24"/>
          <w:szCs w:val="24"/>
          <w:highlight w:val="none"/>
        </w:rPr>
      </w:pPr>
      <w:r>
        <w:rPr>
          <w:rFonts w:hint="eastAsia" w:ascii="仿宋_GB2312" w:hAnsi="微软雅黑" w:eastAsia="仿宋_GB2312" w:cs="宋体"/>
          <w:color w:val="333333"/>
          <w:kern w:val="0"/>
          <w:sz w:val="32"/>
          <w:szCs w:val="32"/>
          <w:highlight w:val="none"/>
        </w:rPr>
        <w:t>2021年预算收支比2020年</w:t>
      </w:r>
      <w:r>
        <w:rPr>
          <w:rFonts w:hint="eastAsia" w:ascii="仿宋_GB2312" w:hAnsi="微软雅黑" w:eastAsia="仿宋_GB2312" w:cs="宋体"/>
          <w:color w:val="333333"/>
          <w:kern w:val="0"/>
          <w:sz w:val="32"/>
          <w:szCs w:val="32"/>
          <w:highlight w:val="none"/>
          <w:lang w:eastAsia="zh-CN"/>
        </w:rPr>
        <w:t>增加</w:t>
      </w:r>
      <w:r>
        <w:rPr>
          <w:rFonts w:hint="eastAsia" w:ascii="仿宋_GB2312" w:hAnsi="微软雅黑" w:eastAsia="仿宋_GB2312" w:cs="宋体"/>
          <w:color w:val="333333"/>
          <w:kern w:val="0"/>
          <w:sz w:val="32"/>
          <w:szCs w:val="32"/>
          <w:highlight w:val="none"/>
          <w:lang w:val="en-US" w:eastAsia="zh-CN"/>
        </w:rPr>
        <w:t>33.66</w:t>
      </w:r>
      <w:r>
        <w:rPr>
          <w:rFonts w:hint="eastAsia" w:ascii="仿宋_GB2312" w:hAnsi="微软雅黑" w:eastAsia="仿宋_GB2312" w:cs="宋体"/>
          <w:color w:val="333333"/>
          <w:kern w:val="0"/>
          <w:sz w:val="32"/>
          <w:szCs w:val="32"/>
          <w:highlight w:val="none"/>
        </w:rPr>
        <w:t>万元，增减变化的主要原因为</w:t>
      </w:r>
      <w:r>
        <w:rPr>
          <w:rFonts w:hint="eastAsia" w:ascii="仿宋_GB2312" w:hAnsi="微软雅黑" w:eastAsia="仿宋_GB2312" w:cs="宋体"/>
          <w:color w:val="333333"/>
          <w:kern w:val="0"/>
          <w:sz w:val="32"/>
          <w:szCs w:val="32"/>
          <w:highlight w:val="none"/>
          <w:lang w:eastAsia="zh-CN"/>
        </w:rPr>
        <w:t>人员有所增加</w:t>
      </w:r>
      <w:r>
        <w:rPr>
          <w:rFonts w:hint="eastAsia" w:ascii="仿宋_GB2312" w:hAnsi="微软雅黑" w:eastAsia="仿宋_GB2312" w:cs="宋体"/>
          <w:color w:val="333333"/>
          <w:kern w:val="0"/>
          <w:sz w:val="32"/>
          <w:szCs w:val="32"/>
          <w:highlight w:val="none"/>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highlight w:val="yellow"/>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中国共产党本溪市溪湖区纪律检查委员会</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63.84</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11.69</w:t>
      </w:r>
      <w:r>
        <w:rPr>
          <w:rFonts w:hint="eastAsia" w:ascii="仿宋_GB2312" w:hAnsi="微软雅黑" w:eastAsia="仿宋_GB2312" w:cs="宋体"/>
          <w:color w:val="333333"/>
          <w:kern w:val="0"/>
          <w:sz w:val="32"/>
          <w:szCs w:val="32"/>
        </w:rPr>
        <w:t>万</w:t>
      </w:r>
      <w:r>
        <w:rPr>
          <w:rFonts w:hint="eastAsia" w:ascii="仿宋_GB2312" w:hAnsi="微软雅黑" w:eastAsia="仿宋_GB2312" w:cs="宋体"/>
          <w:color w:val="333333"/>
          <w:kern w:val="0"/>
          <w:sz w:val="32"/>
          <w:szCs w:val="32"/>
          <w:highlight w:val="none"/>
        </w:rPr>
        <w:t>元，主要原因是</w:t>
      </w:r>
      <w:r>
        <w:rPr>
          <w:rFonts w:hint="eastAsia" w:ascii="仿宋_GB2312" w:hAnsi="微软雅黑" w:eastAsia="仿宋_GB2312" w:cs="宋体"/>
          <w:color w:val="333333"/>
          <w:kern w:val="0"/>
          <w:sz w:val="32"/>
          <w:szCs w:val="32"/>
          <w:highlight w:val="none"/>
          <w:lang w:eastAsia="zh-CN"/>
        </w:rPr>
        <w:t>人员增加</w:t>
      </w:r>
      <w:r>
        <w:rPr>
          <w:rFonts w:hint="eastAsia" w:ascii="仿宋_GB2312" w:hAnsi="微软雅黑" w:eastAsia="仿宋_GB2312" w:cs="宋体"/>
          <w:color w:val="333333"/>
          <w:kern w:val="0"/>
          <w:sz w:val="32"/>
          <w:szCs w:val="32"/>
          <w:highlight w:val="none"/>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中国共产党本溪市溪湖区纪律检查委员会</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highlight w:val="none"/>
        </w:rPr>
      </w:pPr>
      <w:r>
        <w:rPr>
          <w:rFonts w:hint="eastAsia" w:ascii="仿宋_GB2312" w:hAnsi="微软雅黑" w:eastAsia="仿宋_GB2312" w:cs="宋体"/>
          <w:color w:val="333333"/>
          <w:kern w:val="0"/>
          <w:sz w:val="32"/>
          <w:szCs w:val="32"/>
          <w:highlight w:val="none"/>
        </w:rPr>
        <w:t>2021年，</w:t>
      </w:r>
      <w:r>
        <w:rPr>
          <w:rFonts w:hint="eastAsia" w:ascii="仿宋_GB2312" w:hAnsi="微软雅黑" w:eastAsia="仿宋_GB2312" w:cs="宋体"/>
          <w:color w:val="333333"/>
          <w:kern w:val="0"/>
          <w:sz w:val="32"/>
          <w:szCs w:val="32"/>
          <w:highlight w:val="none"/>
          <w:lang w:eastAsia="zh-CN"/>
        </w:rPr>
        <w:t>中国共产党本溪市溪湖区纪律检查委员会</w:t>
      </w:r>
      <w:r>
        <w:rPr>
          <w:rFonts w:hint="eastAsia" w:ascii="仿宋_GB2312" w:hAnsi="微软雅黑" w:eastAsia="仿宋_GB2312" w:cs="宋体"/>
          <w:color w:val="333333"/>
          <w:kern w:val="0"/>
          <w:sz w:val="32"/>
          <w:szCs w:val="32"/>
          <w:highlight w:val="none"/>
        </w:rPr>
        <w:t>一般公共预算安排“三公”经费预算为</w:t>
      </w:r>
      <w:r>
        <w:rPr>
          <w:rFonts w:hint="eastAsia" w:ascii="仿宋_GB2312" w:hAnsi="微软雅黑" w:eastAsia="仿宋_GB2312" w:cs="宋体"/>
          <w:color w:val="333333"/>
          <w:kern w:val="0"/>
          <w:sz w:val="32"/>
          <w:szCs w:val="32"/>
          <w:highlight w:val="none"/>
          <w:lang w:val="en-US" w:eastAsia="zh-CN"/>
        </w:rPr>
        <w:t>6.81</w:t>
      </w:r>
      <w:r>
        <w:rPr>
          <w:rFonts w:hint="eastAsia" w:ascii="仿宋_GB2312" w:hAnsi="微软雅黑" w:eastAsia="仿宋_GB2312" w:cs="宋体"/>
          <w:color w:val="333333"/>
          <w:kern w:val="0"/>
          <w:sz w:val="32"/>
          <w:szCs w:val="32"/>
          <w:highlight w:val="none"/>
        </w:rPr>
        <w:t>万元，比2020年</w:t>
      </w:r>
      <w:r>
        <w:rPr>
          <w:rFonts w:hint="eastAsia" w:ascii="仿宋_GB2312" w:hAnsi="微软雅黑" w:eastAsia="仿宋_GB2312" w:cs="宋体"/>
          <w:color w:val="333333"/>
          <w:kern w:val="0"/>
          <w:sz w:val="32"/>
          <w:szCs w:val="32"/>
          <w:highlight w:val="none"/>
          <w:lang w:eastAsia="zh-CN"/>
        </w:rPr>
        <w:t>增加</w:t>
      </w:r>
      <w:r>
        <w:rPr>
          <w:rFonts w:hint="eastAsia" w:ascii="仿宋_GB2312" w:hAnsi="微软雅黑" w:eastAsia="仿宋_GB2312" w:cs="宋体"/>
          <w:color w:val="333333"/>
          <w:kern w:val="0"/>
          <w:sz w:val="32"/>
          <w:szCs w:val="32"/>
          <w:highlight w:val="none"/>
          <w:lang w:val="en-US" w:eastAsia="zh-CN"/>
        </w:rPr>
        <w:t>0.05</w:t>
      </w:r>
      <w:r>
        <w:rPr>
          <w:rFonts w:hint="eastAsia" w:ascii="仿宋_GB2312" w:hAnsi="微软雅黑" w:eastAsia="仿宋_GB2312" w:cs="宋体"/>
          <w:color w:val="333333"/>
          <w:kern w:val="0"/>
          <w:sz w:val="32"/>
          <w:szCs w:val="32"/>
          <w:highlight w:val="none"/>
        </w:rPr>
        <w:t>万元，</w:t>
      </w:r>
      <w:r>
        <w:rPr>
          <w:rFonts w:hint="eastAsia" w:ascii="仿宋_GB2312" w:hAnsi="微软雅黑" w:eastAsia="仿宋_GB2312" w:cs="宋体"/>
          <w:color w:val="333333"/>
          <w:kern w:val="0"/>
          <w:sz w:val="32"/>
          <w:szCs w:val="32"/>
          <w:highlight w:val="none"/>
          <w:lang w:eastAsia="zh-CN"/>
        </w:rPr>
        <w:t>上升</w:t>
      </w:r>
      <w:r>
        <w:rPr>
          <w:rFonts w:hint="eastAsia" w:ascii="仿宋_GB2312" w:hAnsi="微软雅黑" w:eastAsia="仿宋_GB2312" w:cs="宋体"/>
          <w:color w:val="333333"/>
          <w:kern w:val="0"/>
          <w:sz w:val="32"/>
          <w:szCs w:val="32"/>
          <w:highlight w:val="none"/>
          <w:lang w:val="en-US" w:eastAsia="zh-CN"/>
        </w:rPr>
        <w:t>0.74</w:t>
      </w:r>
      <w:r>
        <w:rPr>
          <w:rFonts w:hint="eastAsia" w:ascii="仿宋_GB2312" w:hAnsi="微软雅黑" w:eastAsia="仿宋_GB2312" w:cs="宋体"/>
          <w:color w:val="333333"/>
          <w:kern w:val="0"/>
          <w:sz w:val="32"/>
          <w:szCs w:val="32"/>
          <w:highlight w:val="none"/>
        </w:rPr>
        <w:t>%。其中：</w:t>
      </w:r>
    </w:p>
    <w:p>
      <w:pPr>
        <w:keepLines/>
        <w:widowControl/>
        <w:numPr>
          <w:ilvl w:val="0"/>
          <w:numId w:val="1"/>
        </w:numPr>
        <w:shd w:val="clear" w:color="auto" w:fill="FFFFFF"/>
        <w:ind w:firstLine="645"/>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因公出国（境）费0万元，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w:t>
      </w:r>
      <w:r>
        <w:rPr>
          <w:rFonts w:hint="eastAsia" w:ascii="仿宋_GB2312" w:hAnsi="微软雅黑" w:eastAsia="仿宋_GB2312" w:cs="宋体"/>
          <w:color w:val="333333"/>
          <w:kern w:val="0"/>
          <w:sz w:val="32"/>
          <w:szCs w:val="32"/>
          <w:lang w:eastAsia="zh-CN"/>
        </w:rPr>
        <w:t>平。</w:t>
      </w:r>
    </w:p>
    <w:p>
      <w:pPr>
        <w:keepLines/>
        <w:widowControl/>
        <w:numPr>
          <w:ilvl w:val="0"/>
          <w:numId w:val="1"/>
        </w:numPr>
        <w:shd w:val="clear" w:color="auto" w:fill="FFFFFF"/>
        <w:ind w:firstLine="645"/>
        <w:jc w:val="left"/>
        <w:rPr>
          <w:rFonts w:ascii="微软雅黑" w:hAnsi="微软雅黑" w:eastAsia="微软雅黑" w:cs="宋体"/>
          <w:color w:val="333333"/>
          <w:kern w:val="0"/>
          <w:sz w:val="24"/>
          <w:szCs w:val="24"/>
          <w:highlight w:val="none"/>
        </w:rPr>
      </w:pPr>
      <w:r>
        <w:rPr>
          <w:rFonts w:hint="eastAsia" w:ascii="仿宋_GB2312" w:hAnsi="微软雅黑" w:eastAsia="仿宋_GB2312" w:cs="宋体"/>
          <w:color w:val="333333"/>
          <w:kern w:val="0"/>
          <w:sz w:val="32"/>
          <w:szCs w:val="32"/>
          <w:highlight w:val="none"/>
        </w:rPr>
        <w:t>公务接待费0</w:t>
      </w:r>
      <w:r>
        <w:rPr>
          <w:rFonts w:hint="eastAsia" w:ascii="仿宋_GB2312" w:hAnsi="微软雅黑" w:eastAsia="仿宋_GB2312" w:cs="宋体"/>
          <w:color w:val="333333"/>
          <w:kern w:val="0"/>
          <w:sz w:val="32"/>
          <w:szCs w:val="32"/>
          <w:highlight w:val="none"/>
          <w:lang w:val="en-US" w:eastAsia="zh-CN"/>
        </w:rPr>
        <w:t>.51</w:t>
      </w:r>
      <w:r>
        <w:rPr>
          <w:rFonts w:hint="eastAsia" w:ascii="仿宋_GB2312" w:hAnsi="微软雅黑" w:eastAsia="仿宋_GB2312" w:cs="宋体"/>
          <w:color w:val="333333"/>
          <w:kern w:val="0"/>
          <w:sz w:val="32"/>
          <w:szCs w:val="32"/>
          <w:highlight w:val="none"/>
        </w:rPr>
        <w:t>万元，比2020年</w:t>
      </w:r>
      <w:r>
        <w:rPr>
          <w:rFonts w:hint="eastAsia" w:ascii="仿宋_GB2312" w:hAnsi="微软雅黑" w:eastAsia="仿宋_GB2312" w:cs="宋体"/>
          <w:color w:val="333333"/>
          <w:kern w:val="0"/>
          <w:sz w:val="32"/>
          <w:szCs w:val="32"/>
          <w:highlight w:val="none"/>
          <w:lang w:eastAsia="zh-CN"/>
        </w:rPr>
        <w:t>增加</w:t>
      </w:r>
      <w:r>
        <w:rPr>
          <w:rFonts w:hint="eastAsia" w:ascii="仿宋_GB2312" w:hAnsi="微软雅黑" w:eastAsia="仿宋_GB2312" w:cs="宋体"/>
          <w:color w:val="333333"/>
          <w:kern w:val="0"/>
          <w:sz w:val="32"/>
          <w:szCs w:val="32"/>
          <w:highlight w:val="none"/>
          <w:lang w:val="en-US" w:eastAsia="zh-CN"/>
        </w:rPr>
        <w:t>0.05</w:t>
      </w:r>
      <w:r>
        <w:rPr>
          <w:rFonts w:hint="eastAsia" w:ascii="仿宋_GB2312" w:hAnsi="微软雅黑" w:eastAsia="仿宋_GB2312" w:cs="宋体"/>
          <w:color w:val="333333"/>
          <w:kern w:val="0"/>
          <w:sz w:val="32"/>
          <w:szCs w:val="32"/>
          <w:highlight w:val="none"/>
        </w:rPr>
        <w:t>万元，主要原因是</w:t>
      </w:r>
      <w:r>
        <w:rPr>
          <w:rFonts w:hint="eastAsia" w:ascii="仿宋_GB2312" w:hAnsi="微软雅黑" w:eastAsia="仿宋_GB2312" w:cs="宋体"/>
          <w:color w:val="333333"/>
          <w:kern w:val="0"/>
          <w:sz w:val="32"/>
          <w:szCs w:val="32"/>
          <w:highlight w:val="none"/>
          <w:lang w:eastAsia="zh-CN"/>
        </w:rPr>
        <w:t>增加</w:t>
      </w:r>
      <w:r>
        <w:rPr>
          <w:rFonts w:hint="eastAsia" w:ascii="仿宋_GB2312" w:hAnsi="微软雅黑" w:eastAsia="仿宋_GB2312" w:cs="宋体"/>
          <w:color w:val="333333"/>
          <w:kern w:val="0"/>
          <w:sz w:val="32"/>
          <w:szCs w:val="32"/>
          <w:highlight w:val="none"/>
        </w:rPr>
        <w:t>1人。</w:t>
      </w:r>
    </w:p>
    <w:p>
      <w:pPr>
        <w:keepLines/>
        <w:widowControl/>
        <w:numPr>
          <w:ilvl w:val="0"/>
          <w:numId w:val="1"/>
        </w:numPr>
        <w:shd w:val="clear" w:color="auto" w:fill="FFFFFF"/>
        <w:ind w:left="0" w:leftChars="0" w:firstLine="645" w:firstLineChars="0"/>
        <w:jc w:val="left"/>
        <w:rPr>
          <w:rFonts w:hint="eastAsia" w:ascii="仿宋_GB2312" w:hAnsi="微软雅黑" w:eastAsia="仿宋_GB2312" w:cs="宋体"/>
          <w:color w:val="333333"/>
          <w:kern w:val="0"/>
          <w:sz w:val="32"/>
          <w:szCs w:val="32"/>
          <w:highlight w:val="none"/>
          <w:lang w:eastAsia="zh-CN"/>
        </w:rPr>
      </w:pPr>
      <w:r>
        <w:rPr>
          <w:rFonts w:hint="eastAsia" w:ascii="仿宋_GB2312" w:hAnsi="微软雅黑" w:eastAsia="仿宋_GB2312" w:cs="宋体"/>
          <w:color w:val="333333"/>
          <w:kern w:val="0"/>
          <w:sz w:val="32"/>
          <w:szCs w:val="32"/>
          <w:highlight w:val="none"/>
        </w:rPr>
        <w:t>公务用车购置及运行费</w:t>
      </w:r>
      <w:r>
        <w:rPr>
          <w:rFonts w:hint="eastAsia" w:ascii="仿宋_GB2312" w:hAnsi="微软雅黑" w:eastAsia="仿宋_GB2312" w:cs="宋体"/>
          <w:color w:val="333333"/>
          <w:kern w:val="0"/>
          <w:sz w:val="32"/>
          <w:szCs w:val="32"/>
          <w:highlight w:val="none"/>
          <w:lang w:val="en-US" w:eastAsia="zh-CN"/>
        </w:rPr>
        <w:t>6.3</w:t>
      </w:r>
      <w:r>
        <w:rPr>
          <w:rFonts w:hint="eastAsia" w:ascii="仿宋_GB2312" w:hAnsi="微软雅黑" w:eastAsia="仿宋_GB2312" w:cs="宋体"/>
          <w:color w:val="333333"/>
          <w:kern w:val="0"/>
          <w:sz w:val="32"/>
          <w:szCs w:val="32"/>
          <w:highlight w:val="none"/>
        </w:rPr>
        <w:t>万元，</w:t>
      </w:r>
      <w:r>
        <w:rPr>
          <w:rFonts w:hint="eastAsia" w:ascii="仿宋_GB2312" w:hAnsi="微软雅黑" w:eastAsia="仿宋_GB2312" w:cs="宋体"/>
          <w:color w:val="333333"/>
          <w:kern w:val="0"/>
          <w:sz w:val="32"/>
          <w:szCs w:val="32"/>
          <w:highlight w:val="none"/>
          <w:lang w:eastAsia="zh-CN"/>
        </w:rPr>
        <w:t>与</w:t>
      </w:r>
      <w:r>
        <w:rPr>
          <w:rFonts w:hint="eastAsia" w:ascii="仿宋_GB2312" w:hAnsi="微软雅黑" w:eastAsia="仿宋_GB2312" w:cs="宋体"/>
          <w:color w:val="333333"/>
          <w:kern w:val="0"/>
          <w:sz w:val="32"/>
          <w:szCs w:val="32"/>
          <w:highlight w:val="none"/>
        </w:rPr>
        <w:t>2020年持平</w:t>
      </w:r>
      <w:r>
        <w:rPr>
          <w:rFonts w:hint="eastAsia" w:ascii="仿宋_GB2312" w:hAnsi="微软雅黑" w:eastAsia="仿宋_GB2312" w:cs="宋体"/>
          <w:color w:val="333333"/>
          <w:kern w:val="0"/>
          <w:sz w:val="32"/>
          <w:szCs w:val="32"/>
          <w:highlight w:val="none"/>
          <w:lang w:eastAsia="zh-CN"/>
        </w:rPr>
        <w:t>。</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w:t>
      </w:r>
      <w:r>
        <w:rPr>
          <w:rFonts w:hint="eastAsia" w:ascii="仿宋_GB2312" w:hAnsi="微软雅黑" w:eastAsia="仿宋_GB2312" w:cs="宋体"/>
          <w:b/>
          <w:bCs/>
          <w:color w:val="333333"/>
          <w:kern w:val="0"/>
          <w:sz w:val="32"/>
          <w:szCs w:val="32"/>
          <w:lang w:eastAsia="zh-CN"/>
        </w:rPr>
        <w:t>中国共产党本溪市溪湖区纪律检查委员会</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hint="eastAsia" w:ascii="仿宋_GB2312" w:hAnsi="微软雅黑" w:eastAsia="仿宋_GB2312" w:cs="宋体"/>
          <w:b/>
          <w:bCs/>
          <w:color w:val="333333"/>
          <w:kern w:val="0"/>
          <w:sz w:val="29"/>
          <w:szCs w:val="29"/>
        </w:rPr>
      </w:pPr>
      <w:r>
        <w:rPr>
          <w:rFonts w:hint="eastAsia" w:ascii="仿宋_GB2312" w:hAnsi="微软雅黑" w:eastAsia="仿宋_GB2312" w:cs="宋体"/>
          <w:b/>
          <w:bCs/>
          <w:color w:val="333333"/>
          <w:kern w:val="0"/>
          <w:sz w:val="29"/>
          <w:szCs w:val="29"/>
        </w:rPr>
        <w:t>单位：万元</w:t>
      </w:r>
    </w:p>
    <w:p>
      <w:pPr>
        <w:keepLines/>
        <w:widowControl/>
        <w:shd w:val="clear" w:color="auto" w:fill="FFFFFF"/>
        <w:jc w:val="center"/>
        <w:rPr>
          <w:rFonts w:hint="eastAsia" w:ascii="仿宋_GB2312" w:hAnsi="微软雅黑" w:eastAsia="仿宋_GB2312" w:cs="宋体"/>
          <w:b/>
          <w:bCs/>
          <w:color w:val="333333"/>
          <w:kern w:val="0"/>
          <w:sz w:val="29"/>
          <w:szCs w:val="29"/>
        </w:rPr>
      </w:pP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6.76</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6.81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0.46</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0.51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6.3</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6.3</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eastAsia="zh-CN"/>
        </w:rPr>
        <w:t>中国共产党本溪市溪湖区纪律检查委员会</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台</w:t>
      </w:r>
      <w:r>
        <w:rPr>
          <w:rFonts w:hint="eastAsia" w:ascii="仿宋_GB2312" w:hAnsi="微软雅黑" w:eastAsia="仿宋_GB2312" w:cs="宋体"/>
          <w:color w:val="333333"/>
          <w:kern w:val="0"/>
          <w:sz w:val="32"/>
          <w:szCs w:val="32"/>
          <w:lang w:val="en-US" w:eastAsia="zh-CN"/>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根据预算绩效管理要求，</w:t>
      </w:r>
      <w:r>
        <w:rPr>
          <w:rFonts w:hint="eastAsia" w:ascii="仿宋_GB2312" w:hAnsi="微软雅黑" w:eastAsia="仿宋_GB2312" w:cs="宋体"/>
          <w:color w:val="333333"/>
          <w:kern w:val="0"/>
          <w:sz w:val="32"/>
          <w:szCs w:val="32"/>
          <w:lang w:eastAsia="zh-CN"/>
        </w:rPr>
        <w:t>中国共产党本溪市溪湖区纪律检查委员会</w:t>
      </w:r>
      <w:r>
        <w:rPr>
          <w:rFonts w:hint="eastAsia" w:ascii="仿宋_GB2312" w:hAnsi="微软雅黑" w:eastAsia="仿宋_GB2312" w:cs="宋体"/>
          <w:color w:val="333333"/>
          <w:kern w:val="0"/>
          <w:sz w:val="32"/>
          <w:szCs w:val="32"/>
        </w:rPr>
        <w:t>2021年应编制绩效目标的项目共</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38</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hint="eastAsia" w:ascii="仿宋_GB2312" w:hAnsi="微软雅黑" w:eastAsia="仿宋_GB2312" w:cs="宋体"/>
          <w:color w:val="333333"/>
          <w:kern w:val="0"/>
          <w:sz w:val="32"/>
          <w:szCs w:val="32"/>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327"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DC6B6"/>
    <w:multiLevelType w:val="singleLevel"/>
    <w:tmpl w:val="619DC6B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28E5D39"/>
    <w:rsid w:val="02FE29B6"/>
    <w:rsid w:val="037E244D"/>
    <w:rsid w:val="040747E7"/>
    <w:rsid w:val="05C85EA5"/>
    <w:rsid w:val="067A3236"/>
    <w:rsid w:val="09634372"/>
    <w:rsid w:val="09A9349E"/>
    <w:rsid w:val="0AFA2B45"/>
    <w:rsid w:val="0C6C2F5F"/>
    <w:rsid w:val="12BE79BB"/>
    <w:rsid w:val="13916359"/>
    <w:rsid w:val="167C54C1"/>
    <w:rsid w:val="1A866B32"/>
    <w:rsid w:val="1B591161"/>
    <w:rsid w:val="1E160737"/>
    <w:rsid w:val="1E21020C"/>
    <w:rsid w:val="1E456892"/>
    <w:rsid w:val="1F17365A"/>
    <w:rsid w:val="203F0977"/>
    <w:rsid w:val="20863E5B"/>
    <w:rsid w:val="208D11BA"/>
    <w:rsid w:val="20FD5901"/>
    <w:rsid w:val="23786DE4"/>
    <w:rsid w:val="24187014"/>
    <w:rsid w:val="257403BC"/>
    <w:rsid w:val="273B42C5"/>
    <w:rsid w:val="27B66F61"/>
    <w:rsid w:val="29DD28FA"/>
    <w:rsid w:val="2B543949"/>
    <w:rsid w:val="2C685C3F"/>
    <w:rsid w:val="2D1F5D8B"/>
    <w:rsid w:val="2F174956"/>
    <w:rsid w:val="2FD34DB8"/>
    <w:rsid w:val="2FE057D7"/>
    <w:rsid w:val="325B3A3F"/>
    <w:rsid w:val="3362329A"/>
    <w:rsid w:val="37C244F2"/>
    <w:rsid w:val="3919024C"/>
    <w:rsid w:val="3ACE0BBE"/>
    <w:rsid w:val="3DD84CCD"/>
    <w:rsid w:val="3DE723FB"/>
    <w:rsid w:val="421D6853"/>
    <w:rsid w:val="46FF245B"/>
    <w:rsid w:val="4AC11BAC"/>
    <w:rsid w:val="4B1526EA"/>
    <w:rsid w:val="4BA6408E"/>
    <w:rsid w:val="4D5651DF"/>
    <w:rsid w:val="4D5E4BD8"/>
    <w:rsid w:val="4FF15CBF"/>
    <w:rsid w:val="50F83F69"/>
    <w:rsid w:val="5101316C"/>
    <w:rsid w:val="5545110E"/>
    <w:rsid w:val="57725A86"/>
    <w:rsid w:val="5FE4701B"/>
    <w:rsid w:val="61354F9A"/>
    <w:rsid w:val="62AA4A2E"/>
    <w:rsid w:val="63AF72CE"/>
    <w:rsid w:val="63C536BD"/>
    <w:rsid w:val="654C7321"/>
    <w:rsid w:val="6687073F"/>
    <w:rsid w:val="67ED7F70"/>
    <w:rsid w:val="68AD25DF"/>
    <w:rsid w:val="6CD83870"/>
    <w:rsid w:val="6E6924A5"/>
    <w:rsid w:val="6F452A4F"/>
    <w:rsid w:val="6F6E4F8B"/>
    <w:rsid w:val="74DE5221"/>
    <w:rsid w:val="763F2ED8"/>
    <w:rsid w:val="78FA4975"/>
    <w:rsid w:val="791A2CF5"/>
    <w:rsid w:val="7ACC585C"/>
    <w:rsid w:val="7D57097E"/>
    <w:rsid w:val="7D963484"/>
    <w:rsid w:val="7FDF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17</TotalTime>
  <ScaleCrop>false</ScaleCrop>
  <LinksUpToDate>false</LinksUpToDate>
  <CharactersWithSpaces>4293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晴空的颜色</cp:lastModifiedBy>
  <dcterms:modified xsi:type="dcterms:W3CDTF">2021-08-13T01:50:03Z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EA4675D1290246EFAD385D81E8EBCAE9</vt:lpwstr>
  </property>
</Properties>
</file>