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火连寨办事处</w:t>
      </w: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w:t>
      </w:r>
      <w:r>
        <w:rPr>
          <w:rFonts w:hint="eastAsia" w:ascii="宋体" w:hAnsi="宋体" w:eastAsia="宋体" w:cs="宋体"/>
          <w:b/>
          <w:bCs/>
          <w:color w:val="333333"/>
          <w:kern w:val="0"/>
          <w:sz w:val="44"/>
          <w:szCs w:val="44"/>
          <w:lang w:eastAsia="zh-CN"/>
        </w:rPr>
        <w:t>区火连寨办事处</w:t>
      </w: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w:t>
      </w:r>
      <w:r>
        <w:rPr>
          <w:rFonts w:hint="eastAsia" w:ascii="黑体" w:hAnsi="黑体" w:eastAsia="黑体" w:cs="宋体"/>
          <w:color w:val="333333"/>
          <w:kern w:val="0"/>
          <w:sz w:val="32"/>
          <w:szCs w:val="32"/>
          <w:lang w:eastAsia="zh-CN"/>
        </w:rPr>
        <w:t>溪湖区</w:t>
      </w:r>
      <w:bookmarkStart w:id="1" w:name="_GoBack"/>
      <w:bookmarkEnd w:id="1"/>
      <w:r>
        <w:rPr>
          <w:rFonts w:hint="eastAsia" w:ascii="黑体" w:hAnsi="黑体" w:eastAsia="黑体" w:cs="宋体"/>
          <w:color w:val="333333"/>
          <w:kern w:val="0"/>
          <w:sz w:val="32"/>
          <w:szCs w:val="32"/>
          <w:lang w:eastAsia="zh-CN"/>
        </w:rPr>
        <w:t>火连寨办事处</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火连寨办事处</w:t>
      </w:r>
      <w:r>
        <w:rPr>
          <w:rFonts w:hint="eastAsia" w:ascii="黑体" w:hAnsi="黑体" w:eastAsia="黑体" w:cs="宋体"/>
          <w:color w:val="333333"/>
          <w:kern w:val="0"/>
          <w:sz w:val="32"/>
          <w:szCs w:val="32"/>
        </w:rPr>
        <w:t>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w:t>
      </w:r>
      <w:r>
        <w:rPr>
          <w:rFonts w:hint="eastAsia" w:ascii="黑体" w:hAnsi="黑体" w:eastAsia="黑体" w:cs="宋体"/>
          <w:color w:val="333333"/>
          <w:kern w:val="0"/>
          <w:sz w:val="32"/>
          <w:szCs w:val="32"/>
          <w:lang w:eastAsia="zh-CN"/>
        </w:rPr>
        <w:t>火连寨办事处</w:t>
      </w:r>
      <w:r>
        <w:rPr>
          <w:rFonts w:hint="eastAsia" w:ascii="黑体" w:hAnsi="黑体" w:eastAsia="黑体" w:cs="宋体"/>
          <w:color w:val="333333"/>
          <w:kern w:val="0"/>
          <w:sz w:val="32"/>
          <w:szCs w:val="32"/>
        </w:rPr>
        <w:t>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w:t>
      </w:r>
      <w:r>
        <w:rPr>
          <w:rFonts w:hint="eastAsia" w:ascii="仿宋_GB2312" w:hAnsi="微软雅黑" w:eastAsia="仿宋_GB2312" w:cs="宋体"/>
          <w:color w:val="333333"/>
          <w:kern w:val="0"/>
          <w:sz w:val="32"/>
          <w:szCs w:val="32"/>
          <w:lang w:eastAsia="zh-CN"/>
        </w:rPr>
        <w:t>火连寨街道办事处部门</w:t>
      </w:r>
      <w:r>
        <w:rPr>
          <w:rFonts w:hint="eastAsia" w:ascii="仿宋_GB2312" w:hAnsi="微软雅黑" w:eastAsia="仿宋_GB2312" w:cs="宋体"/>
          <w:color w:val="333333"/>
          <w:kern w:val="0"/>
          <w:sz w:val="32"/>
          <w:szCs w:val="32"/>
        </w:rPr>
        <w:t>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w:t>
      </w:r>
      <w:r>
        <w:rPr>
          <w:rFonts w:hint="eastAsia" w:ascii="仿宋_GB2312" w:hAnsi="微软雅黑" w:eastAsia="仿宋_GB2312" w:cs="宋体"/>
          <w:color w:val="333333"/>
          <w:kern w:val="0"/>
          <w:sz w:val="32"/>
          <w:szCs w:val="32"/>
          <w:lang w:eastAsia="zh-CN"/>
        </w:rPr>
        <w:t>办事处</w:t>
      </w:r>
      <w:r>
        <w:rPr>
          <w:rFonts w:hint="eastAsia" w:ascii="仿宋_GB2312" w:hAnsi="微软雅黑" w:eastAsia="仿宋_GB2312" w:cs="宋体"/>
          <w:color w:val="333333"/>
          <w:kern w:val="0"/>
          <w:sz w:val="32"/>
          <w:szCs w:val="32"/>
        </w:rPr>
        <w:t>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w:t>
      </w:r>
      <w:r>
        <w:rPr>
          <w:rFonts w:hint="eastAsia" w:ascii="仿宋_GB2312" w:hAnsi="微软雅黑" w:eastAsia="仿宋_GB2312" w:cs="宋体"/>
          <w:color w:val="333333"/>
          <w:kern w:val="0"/>
          <w:sz w:val="32"/>
          <w:szCs w:val="32"/>
          <w:lang w:eastAsia="zh-CN"/>
        </w:rPr>
        <w:t>办事处</w:t>
      </w:r>
      <w:r>
        <w:rPr>
          <w:rFonts w:hint="eastAsia" w:ascii="仿宋_GB2312" w:hAnsi="微软雅黑" w:eastAsia="仿宋_GB2312" w:cs="宋体"/>
          <w:color w:val="333333"/>
          <w:kern w:val="0"/>
          <w:sz w:val="32"/>
          <w:szCs w:val="32"/>
        </w:rPr>
        <w:t>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w:t>
      </w:r>
      <w:r>
        <w:rPr>
          <w:rFonts w:hint="eastAsia" w:ascii="仿宋_GB2312" w:hAnsi="微软雅黑" w:eastAsia="仿宋_GB2312" w:cs="宋体"/>
          <w:color w:val="333333"/>
          <w:kern w:val="0"/>
          <w:sz w:val="32"/>
          <w:szCs w:val="32"/>
          <w:lang w:eastAsia="zh-CN"/>
        </w:rPr>
        <w:t>办事处</w:t>
      </w:r>
      <w:r>
        <w:rPr>
          <w:rFonts w:hint="eastAsia" w:ascii="仿宋_GB2312" w:hAnsi="微软雅黑" w:eastAsia="仿宋_GB2312" w:cs="宋体"/>
          <w:color w:val="333333"/>
          <w:kern w:val="0"/>
          <w:sz w:val="32"/>
          <w:szCs w:val="32"/>
        </w:rPr>
        <w:t>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火连寨办事处</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ind w:firstLine="640" w:firstLineChars="200"/>
        <w:rPr>
          <w:rFonts w:hint="eastAsia" w:ascii="仿宋_GB2312" w:hAnsi="黑体" w:eastAsia="仿宋_GB2312"/>
          <w:sz w:val="32"/>
          <w:szCs w:val="32"/>
        </w:rPr>
      </w:pPr>
      <w:r>
        <w:rPr>
          <w:rFonts w:hint="eastAsia" w:ascii="仿宋_GB2312" w:hAnsi="微软雅黑" w:eastAsia="仿宋_GB2312" w:cs="宋体"/>
          <w:color w:val="333333"/>
          <w:kern w:val="0"/>
          <w:sz w:val="32"/>
          <w:szCs w:val="32"/>
        </w:rPr>
        <w:t xml:space="preserve"> </w:t>
      </w:r>
      <w:r>
        <w:rPr>
          <w:rFonts w:hint="eastAsia" w:ascii="仿宋_GB2312" w:hAnsi="黑体" w:eastAsia="仿宋_GB2312"/>
          <w:sz w:val="32"/>
          <w:szCs w:val="32"/>
        </w:rPr>
        <w:t>（一）党工委职责</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1.负责贯彻党的路线、方针、政策，组织和实施“两个文明”建设。</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2.负责对街道党员的管理教育和基层党建工作，负责街道办事处的组织人事工作。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3．负责街道办事处宣传、统战、群团、科协、托幼、关心下一代、老干部工作；负责协调指导群众性的精神文明创建活动。</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4.负责街道办事处的纪检、信访工作，处理群众来信、来访。</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5.负责街道办事处的档案工作。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6.负责本机关事务管理和后勤工作。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7.负责街道办事处的司法工作、民事调解和法制宣传、综合治理、社会稳定工作。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（二）行政职责</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1.负责民政优抚、社会保障工作，搞好拥军优属。</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2.负责并指导社区居民委建设，发展公益事业，开展便民利民服务。</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3.负责动员社区单位和居民参与社区建设，管理社区综合服务事业，承担地区内的下岗、待业人员及残疾人员的就业培训和输送安置工作。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4.负责本地区爱国卫生运动工作规划和城市建设管理任务的落实，负责地区环境保护、绿化及日常管理工作。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5.负责计划生育工作，制定本地区人口控制计划，贯彻执行党的计划生育方针、政策，宣传普及计划生育知识。</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(三）经济及农业职责</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1.负责编制办事处经济发展的中长期规划和年度计划并组织实施；负责统计工作。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2.负责街办、委办及地区非公有制企业单位的指导、管理和服务工作。</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3.负责本地区招商引资工作，搞好财源建设，推动地区经济发展；负责税收征管，搞好协税护税。</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4.加强财务管理，从严控制支出。对社区居民委的财务管理进行指导和监督。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黑体" w:eastAsia="仿宋_GB2312"/>
          <w:sz w:val="32"/>
          <w:szCs w:val="32"/>
        </w:rPr>
        <w:t>5.负责或指导地区及企事业单位的安全、防火、防汛工作。</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火连寨办事处</w:t>
      </w:r>
      <w:r>
        <w:rPr>
          <w:rFonts w:hint="eastAsia" w:ascii="仿宋_GB2312" w:hAnsi="微软雅黑" w:eastAsia="仿宋_GB2312" w:cs="宋体"/>
          <w:color w:val="333333"/>
          <w:kern w:val="0"/>
          <w:sz w:val="32"/>
          <w:szCs w:val="32"/>
        </w:rPr>
        <w:t>2021年部门预算编制范围的二级预算单位包括：</w:t>
      </w:r>
    </w:p>
    <w:p>
      <w:pPr>
        <w:keepLines/>
        <w:widowControl/>
        <w:shd w:val="clear" w:color="auto" w:fill="FFFFFF"/>
        <w:jc w:val="left"/>
        <w:rPr>
          <w:rFonts w:hint="default" w:ascii="微软雅黑"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32"/>
          <w:szCs w:val="32"/>
        </w:rPr>
        <w:t xml:space="preserve">（一） </w:t>
      </w:r>
      <w:r>
        <w:rPr>
          <w:rFonts w:hint="eastAsia" w:ascii="仿宋_GB2312" w:hAnsi="微软雅黑" w:eastAsia="仿宋_GB2312" w:cs="宋体"/>
          <w:color w:val="333333"/>
          <w:kern w:val="0"/>
          <w:sz w:val="32"/>
          <w:szCs w:val="32"/>
          <w:lang w:eastAsia="zh-CN"/>
        </w:rPr>
        <w:t>本溪市溪湖区火连寨办事处</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left="1441" w:leftChars="342" w:hanging="723" w:hangingChars="200"/>
        <w:jc w:val="both"/>
        <w:rPr>
          <w:rFonts w:hint="eastAsia" w:ascii="宋体" w:hAnsi="宋体" w:eastAsia="宋体" w:cs="宋体"/>
          <w:b/>
          <w:bCs/>
          <w:color w:val="333333"/>
          <w:kern w:val="0"/>
          <w:sz w:val="36"/>
          <w:szCs w:val="36"/>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火连寨办事处</w:t>
      </w:r>
      <w:r>
        <w:rPr>
          <w:rFonts w:hint="eastAsia" w:ascii="宋体" w:hAnsi="宋体" w:eastAsia="宋体" w:cs="宋体"/>
          <w:b/>
          <w:bCs/>
          <w:color w:val="333333"/>
          <w:kern w:val="0"/>
          <w:sz w:val="36"/>
          <w:szCs w:val="36"/>
        </w:rPr>
        <w:t>2021年</w:t>
      </w:r>
    </w:p>
    <w:p>
      <w:pPr>
        <w:keepLines/>
        <w:widowControl/>
        <w:shd w:val="clear" w:color="auto" w:fill="FFFFFF"/>
        <w:ind w:left="1436" w:leftChars="684" w:firstLine="1446" w:firstLineChars="400"/>
        <w:jc w:val="both"/>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火连寨办事处</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（一）收入预算396.26万元，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1.财政拨款收入396.26万元；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（二）支出预算396.26万元，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1.基本支出320.46万元；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2.项目支出75.8万元；</w:t>
      </w:r>
    </w:p>
    <w:p>
      <w:pPr>
        <w:ind w:firstLine="640" w:firstLineChars="200"/>
        <w:jc w:val="left"/>
        <w:rPr>
          <w:rFonts w:hint="eastAsia" w:ascii="仿宋_GB2312" w:hAnsi="宋体" w:eastAsia="仿宋_GB2312"/>
          <w:sz w:val="32"/>
          <w:szCs w:val="32"/>
        </w:rPr>
      </w:pPr>
      <w:r>
        <w:rPr>
          <w:rFonts w:hint="eastAsia" w:ascii="仿宋_GB2312" w:hAnsi="微软雅黑" w:eastAsia="仿宋_GB2312" w:cs="宋体"/>
          <w:color w:val="333333"/>
          <w:kern w:val="0"/>
          <w:sz w:val="32"/>
          <w:szCs w:val="32"/>
        </w:rPr>
        <w:t>2021年预算收支比2020年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53.76</w:t>
      </w:r>
      <w:r>
        <w:rPr>
          <w:rFonts w:hint="eastAsia" w:ascii="仿宋_GB2312" w:hAnsi="微软雅黑" w:eastAsia="仿宋_GB2312" w:cs="宋体"/>
          <w:color w:val="333333"/>
          <w:kern w:val="0"/>
          <w:sz w:val="32"/>
          <w:szCs w:val="32"/>
        </w:rPr>
        <w:t>万元，</w:t>
      </w:r>
      <w:r>
        <w:rPr>
          <w:rFonts w:hint="eastAsia" w:ascii="仿宋_GB2312" w:hAnsi="宋体" w:eastAsia="仿宋_GB2312"/>
          <w:sz w:val="32"/>
          <w:szCs w:val="32"/>
        </w:rPr>
        <w:t>主要原因</w:t>
      </w:r>
      <w:r>
        <w:rPr>
          <w:rFonts w:hint="eastAsia" w:ascii="仿宋_GB2312" w:hAnsi="宋体" w:eastAsia="仿宋_GB2312"/>
          <w:sz w:val="32"/>
          <w:szCs w:val="32"/>
          <w:lang w:eastAsia="zh-CN"/>
        </w:rPr>
        <w:t>是</w:t>
      </w:r>
      <w:r>
        <w:rPr>
          <w:rFonts w:hint="eastAsia" w:ascii="仿宋_GB2312" w:hAnsi="宋体" w:eastAsia="仿宋_GB2312"/>
          <w:sz w:val="32"/>
          <w:szCs w:val="32"/>
        </w:rPr>
        <w:t>行政单位机构改革，发生部门及人员变更与划转。</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火连寨办事处</w:t>
      </w:r>
      <w:r>
        <w:rPr>
          <w:rFonts w:hint="eastAsia" w:ascii="仿宋_GB2312" w:hAnsi="微软雅黑" w:eastAsia="仿宋_GB2312" w:cs="宋体"/>
          <w:color w:val="333333"/>
          <w:kern w:val="0"/>
          <w:sz w:val="32"/>
          <w:szCs w:val="32"/>
        </w:rPr>
        <w:t>机关运行经费预算为172.65万元，主要包括办公及印刷费、邮电费、差旅费、会议费、福利费、日常维修费、专用材料及一般设备购置费、办公用房水电费、办公用房取暖费、办公用房物业管理费、公务用车运行维护费以及其他费用。2021年预算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90.32</w:t>
      </w:r>
      <w:r>
        <w:rPr>
          <w:rFonts w:hint="eastAsia" w:ascii="仿宋_GB2312" w:hAnsi="微软雅黑" w:eastAsia="仿宋_GB2312" w:cs="宋体"/>
          <w:color w:val="333333"/>
          <w:kern w:val="0"/>
          <w:sz w:val="32"/>
          <w:szCs w:val="32"/>
        </w:rPr>
        <w:t>万元，</w:t>
      </w:r>
      <w:r>
        <w:rPr>
          <w:rFonts w:hint="eastAsia" w:ascii="仿宋_GB2312" w:hAnsi="宋体" w:eastAsia="仿宋_GB2312"/>
          <w:sz w:val="32"/>
          <w:szCs w:val="32"/>
        </w:rPr>
        <w:t>主要原因</w:t>
      </w:r>
      <w:r>
        <w:rPr>
          <w:rFonts w:hint="eastAsia" w:ascii="仿宋_GB2312" w:hAnsi="宋体" w:eastAsia="仿宋_GB2312"/>
          <w:sz w:val="32"/>
          <w:szCs w:val="32"/>
          <w:lang w:eastAsia="zh-CN"/>
        </w:rPr>
        <w:t>是</w:t>
      </w:r>
      <w:r>
        <w:rPr>
          <w:rFonts w:hint="eastAsia" w:ascii="仿宋_GB2312" w:hAnsi="宋体" w:eastAsia="仿宋_GB2312"/>
          <w:sz w:val="32"/>
          <w:szCs w:val="32"/>
        </w:rPr>
        <w:t>行政单位机构改革，发生部门及人员变更与划转。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火连寨办事处</w:t>
      </w:r>
      <w:r>
        <w:rPr>
          <w:rFonts w:hint="eastAsia" w:ascii="仿宋_GB2312" w:hAnsi="微软雅黑" w:eastAsia="仿宋_GB2312" w:cs="宋体"/>
          <w:color w:val="333333"/>
          <w:kern w:val="0"/>
          <w:sz w:val="32"/>
          <w:szCs w:val="32"/>
        </w:rPr>
        <w:t>安排政府采购预算</w:t>
      </w:r>
      <w:r>
        <w:rPr>
          <w:rFonts w:hint="eastAsia" w:ascii="仿宋_GB2312" w:hAnsi="微软雅黑" w:eastAsia="仿宋_GB2312" w:cs="宋体"/>
          <w:color w:val="333333"/>
          <w:kern w:val="0"/>
          <w:sz w:val="32"/>
          <w:szCs w:val="32"/>
          <w:lang w:val="en-US" w:eastAsia="zh-CN"/>
        </w:rPr>
        <w:t>77</w:t>
      </w:r>
      <w:r>
        <w:rPr>
          <w:rFonts w:hint="eastAsia" w:ascii="仿宋_GB2312" w:hAnsi="微软雅黑" w:eastAsia="仿宋_GB2312" w:cs="宋体"/>
          <w:color w:val="333333"/>
          <w:kern w:val="0"/>
          <w:sz w:val="32"/>
          <w:szCs w:val="32"/>
        </w:rPr>
        <w:t>万元，其中：政府采购货物支出0万元，政府购买服务支出</w:t>
      </w:r>
      <w:r>
        <w:rPr>
          <w:rFonts w:hint="eastAsia" w:ascii="仿宋_GB2312" w:hAnsi="微软雅黑" w:eastAsia="仿宋_GB2312" w:cs="宋体"/>
          <w:color w:val="333333"/>
          <w:kern w:val="0"/>
          <w:sz w:val="32"/>
          <w:szCs w:val="32"/>
          <w:lang w:val="en-US" w:eastAsia="zh-CN"/>
        </w:rPr>
        <w:t>27</w:t>
      </w:r>
      <w:r>
        <w:rPr>
          <w:rFonts w:hint="eastAsia" w:ascii="仿宋_GB2312" w:hAnsi="微软雅黑" w:eastAsia="仿宋_GB2312" w:cs="宋体"/>
          <w:color w:val="333333"/>
          <w:kern w:val="0"/>
          <w:sz w:val="32"/>
          <w:szCs w:val="32"/>
        </w:rPr>
        <w:t>万元，政府采购工程支出</w:t>
      </w:r>
      <w:r>
        <w:rPr>
          <w:rFonts w:hint="eastAsia" w:ascii="仿宋_GB2312" w:hAnsi="微软雅黑" w:eastAsia="仿宋_GB2312" w:cs="宋体"/>
          <w:color w:val="333333"/>
          <w:kern w:val="0"/>
          <w:sz w:val="32"/>
          <w:szCs w:val="32"/>
          <w:lang w:val="en-US" w:eastAsia="zh-CN"/>
        </w:rPr>
        <w:t>50</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2021年，本溪市溪湖区部门名称一般公共预算安排“三公”经费预算为</w:t>
      </w:r>
      <w:r>
        <w:rPr>
          <w:rFonts w:hint="eastAsia" w:ascii="仿宋_GB2312" w:hAnsi="微软雅黑" w:eastAsia="仿宋_GB2312" w:cs="宋体"/>
          <w:color w:val="333333"/>
          <w:kern w:val="0"/>
          <w:sz w:val="32"/>
          <w:szCs w:val="32"/>
          <w:lang w:val="en-US" w:eastAsia="zh-CN"/>
        </w:rPr>
        <w:t>4.41</w:t>
      </w:r>
      <w:r>
        <w:rPr>
          <w:rFonts w:hint="eastAsia" w:ascii="仿宋_GB2312" w:hAnsi="微软雅黑" w:eastAsia="仿宋_GB2312" w:cs="宋体"/>
          <w:color w:val="333333"/>
          <w:kern w:val="0"/>
          <w:sz w:val="32"/>
          <w:szCs w:val="32"/>
        </w:rPr>
        <w:t>万元，比2020年减少</w:t>
      </w:r>
      <w:r>
        <w:rPr>
          <w:rFonts w:hint="eastAsia" w:ascii="仿宋_GB2312" w:hAnsi="微软雅黑" w:eastAsia="仿宋_GB2312" w:cs="宋体"/>
          <w:color w:val="333333"/>
          <w:kern w:val="0"/>
          <w:sz w:val="32"/>
          <w:szCs w:val="32"/>
          <w:lang w:val="en-US" w:eastAsia="zh-CN"/>
        </w:rPr>
        <w:t>0.01</w:t>
      </w:r>
      <w:r>
        <w:rPr>
          <w:rFonts w:hint="eastAsia" w:ascii="仿宋_GB2312" w:hAnsi="微软雅黑" w:eastAsia="仿宋_GB2312" w:cs="宋体"/>
          <w:color w:val="333333"/>
          <w:kern w:val="0"/>
          <w:sz w:val="32"/>
          <w:szCs w:val="32"/>
        </w:rPr>
        <w:t>万元，下降</w:t>
      </w:r>
      <w:r>
        <w:rPr>
          <w:rFonts w:hint="eastAsia" w:ascii="仿宋_GB2312" w:hAnsi="微软雅黑" w:eastAsia="仿宋_GB2312" w:cs="宋体"/>
          <w:color w:val="333333"/>
          <w:kern w:val="0"/>
          <w:sz w:val="32"/>
          <w:szCs w:val="32"/>
          <w:lang w:val="en-US" w:eastAsia="zh-CN"/>
        </w:rPr>
        <w:t>100</w:t>
      </w:r>
      <w:r>
        <w:rPr>
          <w:rFonts w:hint="eastAsia" w:ascii="仿宋_GB2312" w:hAnsi="微软雅黑" w:eastAsia="仿宋_GB2312" w:cs="宋体"/>
          <w:color w:val="333333"/>
          <w:kern w:val="0"/>
          <w:sz w:val="32"/>
          <w:szCs w:val="32"/>
        </w:rPr>
        <w:t>%。其中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1.因公出国（境）费0万元，比2020年增加/减少持平万元，主要原因是……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w:t>
      </w:r>
      <w:r>
        <w:rPr>
          <w:rFonts w:hint="eastAsia" w:ascii="仿宋_GB2312" w:hAnsi="微软雅黑" w:eastAsia="仿宋_GB2312" w:cs="宋体"/>
          <w:color w:val="333333"/>
          <w:kern w:val="0"/>
          <w:sz w:val="32"/>
          <w:szCs w:val="32"/>
          <w:lang w:val="en-US" w:eastAsia="zh-CN"/>
        </w:rPr>
        <w:t>0.21</w:t>
      </w:r>
      <w:r>
        <w:rPr>
          <w:rFonts w:hint="eastAsia" w:ascii="仿宋_GB2312" w:hAnsi="微软雅黑" w:eastAsia="仿宋_GB2312" w:cs="宋体"/>
          <w:color w:val="333333"/>
          <w:kern w:val="0"/>
          <w:sz w:val="32"/>
          <w:szCs w:val="32"/>
        </w:rPr>
        <w:t>万元，比2020年减少</w:t>
      </w:r>
      <w:r>
        <w:rPr>
          <w:rFonts w:hint="eastAsia" w:ascii="仿宋_GB2312" w:hAnsi="微软雅黑" w:eastAsia="仿宋_GB2312" w:cs="宋体"/>
          <w:color w:val="333333"/>
          <w:kern w:val="0"/>
          <w:sz w:val="32"/>
          <w:szCs w:val="32"/>
          <w:lang w:val="en-US" w:eastAsia="zh-CN"/>
        </w:rPr>
        <w:t>0.01</w:t>
      </w:r>
      <w:r>
        <w:rPr>
          <w:rFonts w:hint="eastAsia" w:ascii="仿宋_GB2312" w:hAnsi="微软雅黑" w:eastAsia="仿宋_GB2312" w:cs="宋体"/>
          <w:color w:val="333333"/>
          <w:kern w:val="0"/>
          <w:sz w:val="32"/>
          <w:szCs w:val="32"/>
        </w:rPr>
        <w:t>万元，</w:t>
      </w:r>
      <w:r>
        <w:rPr>
          <w:rFonts w:hint="eastAsia" w:ascii="仿宋_GB2312" w:hAnsi="宋体" w:eastAsia="仿宋_GB2312"/>
          <w:sz w:val="32"/>
          <w:szCs w:val="32"/>
        </w:rPr>
        <w:t>主要原因</w:t>
      </w:r>
      <w:r>
        <w:rPr>
          <w:rFonts w:hint="eastAsia" w:ascii="仿宋_GB2312" w:hAnsi="宋体" w:eastAsia="仿宋_GB2312"/>
          <w:sz w:val="32"/>
          <w:szCs w:val="32"/>
          <w:lang w:eastAsia="zh-CN"/>
        </w:rPr>
        <w:t>是</w:t>
      </w:r>
      <w:r>
        <w:rPr>
          <w:rFonts w:hint="eastAsia" w:ascii="仿宋_GB2312" w:hAnsi="宋体" w:eastAsia="仿宋_GB2312"/>
          <w:sz w:val="32"/>
          <w:szCs w:val="32"/>
        </w:rPr>
        <w:t>行政单位机构改革，发生部门及人员变更与划转。</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w:t>
      </w:r>
      <w:r>
        <w:rPr>
          <w:rFonts w:hint="eastAsia" w:ascii="仿宋_GB2312" w:hAnsi="微软雅黑" w:eastAsia="仿宋_GB2312" w:cs="宋体"/>
          <w:color w:val="333333"/>
          <w:kern w:val="0"/>
          <w:sz w:val="32"/>
          <w:szCs w:val="32"/>
          <w:lang w:val="en-US" w:eastAsia="zh-CN"/>
        </w:rPr>
        <w:t>4.2</w:t>
      </w:r>
      <w:r>
        <w:rPr>
          <w:rFonts w:hint="eastAsia" w:ascii="仿宋_GB2312" w:hAnsi="微软雅黑" w:eastAsia="仿宋_GB2312" w:cs="宋体"/>
          <w:color w:val="333333"/>
          <w:kern w:val="0"/>
          <w:sz w:val="32"/>
          <w:szCs w:val="32"/>
        </w:rPr>
        <w:t>元，比2020年持平0万元，</w:t>
      </w:r>
      <w:r>
        <w:rPr>
          <w:rFonts w:hint="eastAsia" w:ascii="仿宋_GB2312" w:hAnsi="宋体" w:eastAsia="仿宋_GB2312"/>
          <w:sz w:val="32"/>
          <w:szCs w:val="32"/>
        </w:rPr>
        <w:t>主要原因</w:t>
      </w:r>
      <w:r>
        <w:rPr>
          <w:rFonts w:hint="eastAsia" w:ascii="仿宋_GB2312" w:hAnsi="宋体" w:eastAsia="仿宋_GB2312"/>
          <w:sz w:val="32"/>
          <w:szCs w:val="32"/>
          <w:lang w:eastAsia="zh-CN"/>
        </w:rPr>
        <w:t>是</w:t>
      </w:r>
      <w:r>
        <w:rPr>
          <w:rFonts w:hint="eastAsia" w:ascii="仿宋_GB2312" w:hAnsi="宋体" w:eastAsia="仿宋_GB2312"/>
          <w:sz w:val="32"/>
          <w:szCs w:val="32"/>
        </w:rPr>
        <w:t>行政单位机构改革，发生部门及人员变更与划转。</w:t>
      </w: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hint="eastAsia" w:ascii="仿宋_GB2312" w:hAnsi="微软雅黑" w:eastAsia="仿宋_GB2312" w:cs="宋体"/>
          <w:b/>
          <w:bCs/>
          <w:color w:val="333333"/>
          <w:kern w:val="0"/>
          <w:sz w:val="32"/>
          <w:szCs w:val="32"/>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w:t>
      </w:r>
      <w:r>
        <w:rPr>
          <w:rFonts w:hint="eastAsia" w:ascii="仿宋_GB2312" w:hAnsi="微软雅黑" w:eastAsia="仿宋_GB2312" w:cs="宋体"/>
          <w:b/>
          <w:bCs/>
          <w:color w:val="333333"/>
          <w:kern w:val="0"/>
          <w:sz w:val="32"/>
          <w:szCs w:val="32"/>
          <w:lang w:eastAsia="zh-CN"/>
        </w:rPr>
        <w:t>火连寨办事处</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91"/>
        <w:gridCol w:w="2079"/>
        <w:gridCol w:w="2355"/>
      </w:tblGrid>
      <w:tr>
        <w:tblPrEx>
          <w:tblCellMar>
            <w:top w:w="0" w:type="dxa"/>
            <w:left w:w="0" w:type="dxa"/>
            <w:bottom w:w="0" w:type="dxa"/>
            <w:right w:w="0" w:type="dxa"/>
          </w:tblCellMar>
        </w:tblPrEx>
        <w:trPr>
          <w:trHeight w:val="480" w:hRule="atLeast"/>
        </w:trPr>
        <w:tc>
          <w:tcPr>
            <w:tcW w:w="4191"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434"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4191" w:type="dxa"/>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079"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91"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079"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4.42</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4.41</w:t>
            </w:r>
          </w:p>
        </w:tc>
      </w:tr>
      <w:tr>
        <w:tblPrEx>
          <w:tblCellMar>
            <w:top w:w="0" w:type="dxa"/>
            <w:left w:w="0" w:type="dxa"/>
            <w:bottom w:w="0" w:type="dxa"/>
            <w:right w:w="0" w:type="dxa"/>
          </w:tblCellMar>
        </w:tblPrEx>
        <w:trPr>
          <w:trHeight w:val="540" w:hRule="atLeast"/>
        </w:trPr>
        <w:tc>
          <w:tcPr>
            <w:tcW w:w="4191"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079"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91"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079"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0.22</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0.21</w:t>
            </w:r>
          </w:p>
        </w:tc>
      </w:tr>
      <w:tr>
        <w:tblPrEx>
          <w:tblCellMar>
            <w:top w:w="0" w:type="dxa"/>
            <w:left w:w="0" w:type="dxa"/>
            <w:bottom w:w="0" w:type="dxa"/>
            <w:right w:w="0" w:type="dxa"/>
          </w:tblCellMar>
        </w:tblPrEx>
        <w:trPr>
          <w:trHeight w:val="540" w:hRule="atLeast"/>
        </w:trPr>
        <w:tc>
          <w:tcPr>
            <w:tcW w:w="4191"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079"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w:t>
            </w:r>
          </w:p>
        </w:tc>
      </w:tr>
      <w:tr>
        <w:tblPrEx>
          <w:tblCellMar>
            <w:top w:w="0" w:type="dxa"/>
            <w:left w:w="0" w:type="dxa"/>
            <w:bottom w:w="0" w:type="dxa"/>
            <w:right w:w="0" w:type="dxa"/>
          </w:tblCellMar>
        </w:tblPrEx>
        <w:trPr>
          <w:trHeight w:val="540" w:hRule="atLeast"/>
        </w:trPr>
        <w:tc>
          <w:tcPr>
            <w:tcW w:w="4191"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079"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91"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079"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4.2</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w:t>
      </w:r>
      <w:r>
        <w:rPr>
          <w:rFonts w:hint="eastAsia" w:ascii="仿宋_GB2312" w:hAnsi="微软雅黑" w:eastAsia="仿宋_GB2312" w:cs="宋体"/>
          <w:color w:val="333333"/>
          <w:kern w:val="0"/>
          <w:sz w:val="32"/>
          <w:szCs w:val="32"/>
          <w:lang w:eastAsia="zh-CN"/>
        </w:rPr>
        <w:t>火连寨办事处</w:t>
      </w:r>
      <w:r>
        <w:rPr>
          <w:rFonts w:hint="eastAsia" w:ascii="仿宋_GB2312" w:hAnsi="微软雅黑" w:eastAsia="仿宋_GB2312" w:cs="宋体"/>
          <w:color w:val="333333"/>
          <w:kern w:val="0"/>
          <w:sz w:val="32"/>
          <w:szCs w:val="32"/>
        </w:rPr>
        <w:t>共有车辆</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台，其中：一般公务用车</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火连寨办事处</w:t>
      </w:r>
      <w:r>
        <w:rPr>
          <w:rFonts w:hint="eastAsia" w:ascii="仿宋_GB2312" w:hAnsi="微软雅黑" w:eastAsia="仿宋_GB2312" w:cs="宋体"/>
          <w:color w:val="333333"/>
          <w:kern w:val="0"/>
          <w:sz w:val="32"/>
          <w:szCs w:val="32"/>
        </w:rPr>
        <w:t>2021年应编制绩效目标的项目共</w:t>
      </w:r>
      <w:r>
        <w:rPr>
          <w:rFonts w:hint="eastAsia" w:ascii="仿宋_GB2312" w:hAnsi="微软雅黑" w:eastAsia="仿宋_GB2312" w:cs="宋体"/>
          <w:color w:val="333333"/>
          <w:kern w:val="0"/>
          <w:sz w:val="32"/>
          <w:szCs w:val="32"/>
          <w:lang w:val="en-US" w:eastAsia="zh-CN"/>
        </w:rPr>
        <w:t>5</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5</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75.8</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pPr w:leftFromText="180" w:rightFromText="180" w:vertAnchor="text" w:horzAnchor="page" w:tblpX="2125" w:tblpY="-69"/>
        <w:tblOverlap w:val="never"/>
        <w:tblW w:w="8519" w:type="dxa"/>
        <w:tblInd w:w="0"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keepLines/>
        <w:rPr>
          <w:rFonts w:hint="eastAsia"/>
        </w:rPr>
      </w:pPr>
    </w:p>
    <w:p>
      <w:pPr>
        <w:keepLines/>
        <w:rPr>
          <w:rFonts w:hint="eastAsia"/>
        </w:rPr>
      </w:pPr>
    </w:p>
    <w:p>
      <w:pPr>
        <w:ind w:firstLine="2530" w:firstLineChars="700"/>
        <w:jc w:val="both"/>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0BE62F34"/>
    <w:rsid w:val="119743E5"/>
    <w:rsid w:val="127E7DDF"/>
    <w:rsid w:val="16392194"/>
    <w:rsid w:val="1B746E94"/>
    <w:rsid w:val="1C606761"/>
    <w:rsid w:val="20CB6D04"/>
    <w:rsid w:val="2A9D12B0"/>
    <w:rsid w:val="2C883F9E"/>
    <w:rsid w:val="302B0E88"/>
    <w:rsid w:val="35291B93"/>
    <w:rsid w:val="3AF6227E"/>
    <w:rsid w:val="3B244692"/>
    <w:rsid w:val="42DB6708"/>
    <w:rsid w:val="4523391C"/>
    <w:rsid w:val="46E87CEC"/>
    <w:rsid w:val="51074314"/>
    <w:rsid w:val="5B7E5FF3"/>
    <w:rsid w:val="5B8E6C4C"/>
    <w:rsid w:val="5F656EF1"/>
    <w:rsid w:val="65816380"/>
    <w:rsid w:val="69617F08"/>
    <w:rsid w:val="6BB02763"/>
    <w:rsid w:val="70930DF0"/>
    <w:rsid w:val="75862002"/>
    <w:rsid w:val="7BBC4259"/>
    <w:rsid w:val="7BE97A9C"/>
    <w:rsid w:val="7D427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18</TotalTime>
  <ScaleCrop>false</ScaleCrop>
  <LinksUpToDate>false</LinksUpToDate>
  <CharactersWithSpaces>4293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cp:lastPrinted>2021-06-30T05:44:14Z</cp:lastPrinted>
  <dcterms:modified xsi:type="dcterms:W3CDTF">2021-06-30T05:53:40Z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46C46CBE46B842C8880CAEE0BFFCA069</vt:lpwstr>
  </property>
</Properties>
</file>