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both"/>
        <w:rPr>
          <w:rFonts w:hint="eastAsia" w:ascii="宋体" w:hAnsi="宋体" w:eastAsia="宋体" w:cs="宋体"/>
          <w:b/>
          <w:bCs/>
          <w:color w:val="333333"/>
          <w:kern w:val="0"/>
          <w:sz w:val="53"/>
          <w:szCs w:val="53"/>
        </w:rPr>
      </w:pPr>
    </w:p>
    <w:p>
      <w:pPr>
        <w:widowControl/>
        <w:shd w:val="clear" w:color="auto" w:fill="FFFFFF"/>
        <w:jc w:val="both"/>
        <w:rPr>
          <w:rFonts w:ascii="宋体" w:hAnsi="宋体" w:eastAsia="宋体" w:cs="宋体"/>
          <w:b/>
          <w:bCs/>
          <w:color w:val="333333"/>
          <w:kern w:val="0"/>
          <w:sz w:val="53"/>
          <w:szCs w:val="53"/>
        </w:rPr>
      </w:pPr>
    </w:p>
    <w:p>
      <w:pPr>
        <w:widowControl/>
        <w:shd w:val="clear" w:color="auto" w:fill="FFFFFF"/>
        <w:jc w:val="both"/>
        <w:rPr>
          <w:rFonts w:ascii="宋体" w:hAnsi="宋体" w:eastAsia="宋体" w:cs="宋体"/>
          <w:b/>
          <w:bCs/>
          <w:color w:val="333333"/>
          <w:kern w:val="0"/>
          <w:sz w:val="53"/>
          <w:szCs w:val="53"/>
        </w:rPr>
      </w:pPr>
    </w:p>
    <w:p>
      <w:pPr>
        <w:widowControl/>
        <w:shd w:val="clear" w:color="auto" w:fill="FFFFFF"/>
        <w:jc w:val="both"/>
        <w:rPr>
          <w:rFonts w:ascii="宋体" w:hAnsi="宋体" w:eastAsia="宋体" w:cs="宋体"/>
          <w:b/>
          <w:bCs/>
          <w:color w:val="333333"/>
          <w:kern w:val="0"/>
          <w:sz w:val="53"/>
          <w:szCs w:val="53"/>
        </w:rPr>
      </w:pPr>
    </w:p>
    <w:p>
      <w:pPr>
        <w:widowControl/>
        <w:shd w:val="clear" w:color="auto" w:fill="FFFFFF"/>
        <w:jc w:val="both"/>
        <w:rPr>
          <w:rFonts w:ascii="宋体" w:hAnsi="宋体" w:eastAsia="宋体" w:cs="宋体"/>
          <w:b/>
          <w:bCs/>
          <w:color w:val="333333"/>
          <w:kern w:val="0"/>
          <w:sz w:val="53"/>
          <w:szCs w:val="53"/>
        </w:rPr>
      </w:pPr>
    </w:p>
    <w:p>
      <w:pPr>
        <w:widowControl/>
        <w:shd w:val="clear" w:color="auto" w:fill="FFFFFF"/>
        <w:jc w:val="center"/>
        <w:rPr>
          <w:rFonts w:hint="eastAsia" w:ascii="宋体" w:hAnsi="宋体" w:eastAsia="宋体" w:cs="宋体"/>
          <w:b/>
          <w:bCs/>
          <w:color w:val="333333"/>
          <w:kern w:val="0"/>
          <w:sz w:val="53"/>
          <w:szCs w:val="53"/>
          <w:lang w:eastAsia="zh-CN"/>
        </w:rPr>
      </w:pPr>
      <w:r>
        <w:rPr>
          <w:rFonts w:hint="eastAsia" w:ascii="宋体" w:hAnsi="宋体" w:eastAsia="宋体" w:cs="宋体"/>
          <w:b/>
          <w:bCs/>
          <w:color w:val="333333"/>
          <w:kern w:val="0"/>
          <w:sz w:val="53"/>
          <w:szCs w:val="53"/>
        </w:rPr>
        <w:t>本溪市溪湖区</w:t>
      </w:r>
      <w:r>
        <w:rPr>
          <w:rFonts w:hint="eastAsia" w:ascii="宋体" w:hAnsi="宋体" w:eastAsia="宋体" w:cs="宋体"/>
          <w:b/>
          <w:bCs/>
          <w:color w:val="333333"/>
          <w:kern w:val="0"/>
          <w:sz w:val="53"/>
          <w:szCs w:val="53"/>
          <w:lang w:eastAsia="zh-CN"/>
        </w:rPr>
        <w:t>司法局</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2021年部门预算</w:t>
      </w:r>
    </w:p>
    <w:p>
      <w:pPr>
        <w:widowControl/>
        <w:shd w:val="clear" w:color="auto" w:fill="FFFFFF"/>
        <w:jc w:val="both"/>
        <w:rPr>
          <w:rFonts w:ascii="微软雅黑" w:hAnsi="微软雅黑" w:eastAsia="微软雅黑" w:cs="宋体"/>
          <w:color w:val="333333"/>
          <w:kern w:val="0"/>
          <w:sz w:val="24"/>
          <w:szCs w:val="24"/>
        </w:rPr>
      </w:pPr>
    </w:p>
    <w:p>
      <w:pPr>
        <w:widowControl/>
        <w:shd w:val="clear" w:color="auto" w:fill="FFFFFF"/>
        <w:jc w:val="both"/>
        <w:rPr>
          <w:rFonts w:ascii="微软雅黑" w:hAnsi="微软雅黑" w:eastAsia="微软雅黑" w:cs="宋体"/>
          <w:color w:val="333333"/>
          <w:kern w:val="0"/>
          <w:sz w:val="24"/>
          <w:szCs w:val="24"/>
        </w:rPr>
      </w:pPr>
    </w:p>
    <w:p>
      <w:pPr>
        <w:widowControl/>
        <w:shd w:val="clear" w:color="auto" w:fill="FFFFFF"/>
        <w:jc w:val="both"/>
        <w:rPr>
          <w:rFonts w:ascii="微软雅黑" w:hAnsi="微软雅黑" w:eastAsia="微软雅黑" w:cs="宋体"/>
          <w:color w:val="333333"/>
          <w:kern w:val="0"/>
          <w:sz w:val="24"/>
          <w:szCs w:val="24"/>
        </w:rPr>
      </w:pPr>
    </w:p>
    <w:p>
      <w:pPr>
        <w:widowControl/>
        <w:shd w:val="clear" w:color="auto" w:fill="FFFFFF"/>
        <w:jc w:val="both"/>
        <w:rPr>
          <w:rFonts w:ascii="微软雅黑" w:hAnsi="微软雅黑" w:eastAsia="微软雅黑" w:cs="宋体"/>
          <w:color w:val="333333"/>
          <w:kern w:val="0"/>
          <w:sz w:val="24"/>
          <w:szCs w:val="24"/>
        </w:rPr>
      </w:pPr>
    </w:p>
    <w:p>
      <w:pPr>
        <w:widowControl/>
        <w:shd w:val="clear" w:color="auto" w:fill="FFFFFF"/>
        <w:jc w:val="both"/>
        <w:rPr>
          <w:rFonts w:ascii="微软雅黑" w:hAnsi="微软雅黑" w:eastAsia="微软雅黑" w:cs="宋体"/>
          <w:color w:val="333333"/>
          <w:kern w:val="0"/>
          <w:sz w:val="24"/>
          <w:szCs w:val="24"/>
        </w:rPr>
      </w:pPr>
    </w:p>
    <w:p>
      <w:pPr>
        <w:widowControl/>
        <w:shd w:val="clear" w:color="auto" w:fill="FFFFFF"/>
        <w:jc w:val="both"/>
        <w:rPr>
          <w:rFonts w:ascii="微软雅黑" w:hAnsi="微软雅黑" w:eastAsia="微软雅黑" w:cs="宋体"/>
          <w:color w:val="333333"/>
          <w:kern w:val="0"/>
          <w:sz w:val="24"/>
          <w:szCs w:val="24"/>
        </w:rPr>
      </w:pPr>
    </w:p>
    <w:p>
      <w:pPr>
        <w:widowControl/>
        <w:shd w:val="clear" w:color="auto" w:fill="FFFFFF"/>
        <w:jc w:val="both"/>
        <w:rPr>
          <w:rFonts w:ascii="微软雅黑" w:hAnsi="微软雅黑" w:eastAsia="微软雅黑" w:cs="宋体"/>
          <w:color w:val="333333"/>
          <w:kern w:val="0"/>
          <w:sz w:val="24"/>
          <w:szCs w:val="24"/>
        </w:rPr>
      </w:pPr>
    </w:p>
    <w:p>
      <w:pPr>
        <w:widowControl/>
        <w:shd w:val="clear" w:color="auto" w:fill="FFFFFF"/>
        <w:jc w:val="both"/>
        <w:rPr>
          <w:rFonts w:ascii="微软雅黑" w:hAnsi="微软雅黑" w:eastAsia="微软雅黑" w:cs="宋体"/>
          <w:color w:val="333333"/>
          <w:kern w:val="0"/>
          <w:sz w:val="24"/>
          <w:szCs w:val="24"/>
        </w:rPr>
      </w:pPr>
    </w:p>
    <w:p>
      <w:pPr>
        <w:widowControl/>
        <w:shd w:val="clear" w:color="auto" w:fill="FFFFFF"/>
        <w:jc w:val="both"/>
        <w:rPr>
          <w:rFonts w:ascii="微软雅黑" w:hAnsi="微软雅黑" w:eastAsia="微软雅黑" w:cs="宋体"/>
          <w:color w:val="333333"/>
          <w:kern w:val="0"/>
          <w:sz w:val="24"/>
          <w:szCs w:val="24"/>
        </w:rPr>
      </w:pPr>
    </w:p>
    <w:p>
      <w:pPr>
        <w:widowControl/>
        <w:shd w:val="clear" w:color="auto" w:fill="FFFFFF"/>
        <w:jc w:val="both"/>
        <w:rPr>
          <w:rFonts w:ascii="微软雅黑" w:hAnsi="微软雅黑" w:eastAsia="微软雅黑" w:cs="宋体"/>
          <w:color w:val="333333"/>
          <w:kern w:val="0"/>
          <w:sz w:val="24"/>
          <w:szCs w:val="24"/>
        </w:rPr>
      </w:pPr>
    </w:p>
    <w:p>
      <w:pPr>
        <w:widowControl/>
        <w:shd w:val="clear" w:color="auto" w:fill="FFFFFF"/>
        <w:jc w:val="both"/>
        <w:rPr>
          <w:rFonts w:ascii="微软雅黑" w:hAnsi="微软雅黑" w:eastAsia="微软雅黑" w:cs="宋体"/>
          <w:color w:val="333333"/>
          <w:kern w:val="0"/>
          <w:sz w:val="24"/>
          <w:szCs w:val="24"/>
        </w:rPr>
      </w:pPr>
    </w:p>
    <w:p>
      <w:pPr>
        <w:widowControl/>
        <w:shd w:val="clear" w:color="auto" w:fill="FFFFFF"/>
        <w:jc w:val="both"/>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本溪市溪湖区</w:t>
      </w:r>
      <w:r>
        <w:rPr>
          <w:rFonts w:hint="eastAsia" w:ascii="宋体" w:hAnsi="宋体" w:eastAsia="宋体" w:cs="宋体"/>
          <w:b/>
          <w:bCs/>
          <w:color w:val="333333"/>
          <w:kern w:val="0"/>
          <w:sz w:val="44"/>
          <w:szCs w:val="44"/>
          <w:lang w:eastAsia="zh-CN"/>
        </w:rPr>
        <w:t>司法局</w:t>
      </w:r>
      <w:r>
        <w:rPr>
          <w:rFonts w:hint="eastAsia" w:ascii="宋体" w:hAnsi="宋体" w:eastAsia="宋体" w:cs="宋体"/>
          <w:b/>
          <w:bCs/>
          <w:color w:val="333333"/>
          <w:kern w:val="0"/>
          <w:sz w:val="44"/>
          <w:szCs w:val="44"/>
        </w:rPr>
        <w:t>目录</w:t>
      </w:r>
    </w:p>
    <w:p>
      <w:pPr>
        <w:widowControl/>
        <w:shd w:val="clear" w:color="auto" w:fill="FFFFFF"/>
        <w:spacing w:line="560" w:lineRule="exact"/>
        <w:jc w:val="both"/>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both"/>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本溪市溪湖区</w:t>
      </w:r>
      <w:r>
        <w:rPr>
          <w:rFonts w:hint="eastAsia" w:ascii="黑体" w:hAnsi="黑体" w:eastAsia="黑体" w:cs="宋体"/>
          <w:color w:val="333333"/>
          <w:kern w:val="0"/>
          <w:sz w:val="32"/>
          <w:szCs w:val="32"/>
          <w:lang w:eastAsia="zh-CN"/>
        </w:rPr>
        <w:t>司法局</w:t>
      </w:r>
      <w:r>
        <w:rPr>
          <w:rFonts w:hint="eastAsia" w:ascii="黑体" w:hAnsi="黑体" w:eastAsia="黑体" w:cs="宋体"/>
          <w:color w:val="333333"/>
          <w:kern w:val="0"/>
          <w:sz w:val="32"/>
          <w:szCs w:val="32"/>
        </w:rPr>
        <w:t>概况</w:t>
      </w:r>
    </w:p>
    <w:p>
      <w:pPr>
        <w:widowControl/>
        <w:shd w:val="clear" w:color="auto" w:fill="FFFFFF"/>
        <w:spacing w:line="560" w:lineRule="exact"/>
        <w:jc w:val="both"/>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both"/>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both"/>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本溪市溪湖区</w:t>
      </w:r>
      <w:r>
        <w:rPr>
          <w:rFonts w:hint="eastAsia" w:ascii="黑体" w:hAnsi="黑体" w:eastAsia="黑体" w:cs="宋体"/>
          <w:color w:val="333333"/>
          <w:kern w:val="0"/>
          <w:sz w:val="32"/>
          <w:szCs w:val="32"/>
          <w:lang w:eastAsia="zh-CN"/>
        </w:rPr>
        <w:t>司法局</w:t>
      </w:r>
      <w:r>
        <w:rPr>
          <w:rFonts w:hint="eastAsia" w:ascii="黑体" w:hAnsi="黑体" w:eastAsia="黑体" w:cs="宋体"/>
          <w:color w:val="333333"/>
          <w:kern w:val="0"/>
          <w:sz w:val="32"/>
          <w:szCs w:val="32"/>
        </w:rPr>
        <w:t>2021年部门预算情况说明</w:t>
      </w:r>
    </w:p>
    <w:p>
      <w:pPr>
        <w:widowControl/>
        <w:shd w:val="clear" w:color="auto" w:fill="FFFFFF"/>
        <w:spacing w:line="560" w:lineRule="exact"/>
        <w:jc w:val="both"/>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both"/>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2021年本溪市溪湖区部门预算批复公开表</w:t>
      </w:r>
    </w:p>
    <w:p>
      <w:pPr>
        <w:widowControl/>
        <w:shd w:val="clear" w:color="auto" w:fill="FFFFFF"/>
        <w:spacing w:line="560" w:lineRule="exact"/>
        <w:jc w:val="both"/>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both"/>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both"/>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both"/>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both"/>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both"/>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both"/>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both"/>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both"/>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both"/>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both"/>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both"/>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both"/>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both"/>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both"/>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both"/>
        <w:rPr>
          <w:rFonts w:hint="eastAsia" w:ascii="宋体" w:hAnsi="宋体" w:eastAsia="宋体" w:cs="宋体"/>
          <w:b/>
          <w:bCs/>
          <w:color w:val="333333"/>
          <w:kern w:val="0"/>
          <w:sz w:val="36"/>
          <w:szCs w:val="36"/>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center"/>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both"/>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both"/>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both"/>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w:t>
      </w:r>
      <w:r>
        <w:rPr>
          <w:rFonts w:hint="eastAsia" w:ascii="仿宋_GB2312" w:hAnsi="微软雅黑" w:eastAsia="仿宋_GB2312" w:cs="宋体"/>
          <w:color w:val="333333"/>
          <w:kern w:val="0"/>
          <w:sz w:val="32"/>
          <w:szCs w:val="32"/>
          <w:lang w:eastAsia="zh-CN"/>
        </w:rPr>
        <w:t>司法局</w:t>
      </w:r>
      <w:r>
        <w:rPr>
          <w:rFonts w:hint="eastAsia" w:ascii="仿宋_GB2312" w:hAnsi="微软雅黑" w:eastAsia="仿宋_GB2312" w:cs="宋体"/>
          <w:color w:val="333333"/>
          <w:kern w:val="0"/>
          <w:sz w:val="32"/>
          <w:szCs w:val="32"/>
        </w:rPr>
        <w:t>部门预决算信息公开管理。</w:t>
      </w:r>
    </w:p>
    <w:p>
      <w:pPr>
        <w:keepLines/>
        <w:widowControl/>
        <w:shd w:val="clear" w:color="auto" w:fill="FFFFFF"/>
        <w:spacing w:line="480" w:lineRule="atLeast"/>
        <w:ind w:firstLine="645"/>
        <w:jc w:val="both"/>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both"/>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both"/>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both"/>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both"/>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both"/>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both"/>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both"/>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both"/>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both"/>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both"/>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both"/>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both"/>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both"/>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both"/>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both"/>
        <w:rPr>
          <w:rFonts w:ascii="微软雅黑" w:hAnsi="微软雅黑" w:eastAsia="微软雅黑" w:cs="宋体"/>
          <w:color w:val="333333"/>
          <w:kern w:val="0"/>
          <w:sz w:val="24"/>
          <w:szCs w:val="24"/>
        </w:rPr>
      </w:pPr>
    </w:p>
    <w:p>
      <w:pPr>
        <w:keepLines/>
        <w:widowControl/>
        <w:shd w:val="clear" w:color="auto" w:fill="FFFFFF"/>
        <w:jc w:val="both"/>
        <w:rPr>
          <w:rFonts w:ascii="微软雅黑" w:hAnsi="微软雅黑" w:eastAsia="微软雅黑" w:cs="宋体"/>
          <w:color w:val="333333"/>
          <w:kern w:val="0"/>
          <w:sz w:val="24"/>
          <w:szCs w:val="24"/>
        </w:rPr>
      </w:pPr>
    </w:p>
    <w:p>
      <w:pPr>
        <w:keepLines/>
        <w:widowControl/>
        <w:shd w:val="clear" w:color="auto" w:fill="FFFFFF"/>
        <w:jc w:val="both"/>
        <w:rPr>
          <w:rFonts w:ascii="微软雅黑" w:hAnsi="微软雅黑" w:eastAsia="微软雅黑" w:cs="宋体"/>
          <w:color w:val="333333"/>
          <w:kern w:val="0"/>
          <w:sz w:val="24"/>
          <w:szCs w:val="24"/>
        </w:rPr>
      </w:pPr>
    </w:p>
    <w:p>
      <w:pPr>
        <w:keepLines/>
        <w:widowControl/>
        <w:shd w:val="clear" w:color="auto" w:fill="FFFFFF"/>
        <w:jc w:val="both"/>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w:t>
      </w:r>
      <w:r>
        <w:rPr>
          <w:rFonts w:hint="eastAsia" w:ascii="宋体" w:hAnsi="宋体" w:eastAsia="宋体" w:cs="宋体"/>
          <w:b/>
          <w:bCs/>
          <w:color w:val="333333"/>
          <w:kern w:val="0"/>
          <w:sz w:val="36"/>
          <w:szCs w:val="36"/>
          <w:lang w:eastAsia="zh-CN"/>
        </w:rPr>
        <w:t>司法局</w:t>
      </w:r>
      <w:r>
        <w:rPr>
          <w:rFonts w:hint="eastAsia" w:ascii="宋体" w:hAnsi="宋体" w:eastAsia="宋体" w:cs="宋体"/>
          <w:b/>
          <w:bCs/>
          <w:color w:val="333333"/>
          <w:kern w:val="0"/>
          <w:sz w:val="36"/>
          <w:szCs w:val="36"/>
        </w:rPr>
        <w:t>概况</w:t>
      </w:r>
    </w:p>
    <w:p>
      <w:pPr>
        <w:keepLines/>
        <w:widowControl/>
        <w:shd w:val="clear" w:color="auto" w:fill="FFFFFF"/>
        <w:ind w:firstLine="645"/>
        <w:jc w:val="both"/>
        <w:rPr>
          <w:rFonts w:ascii="微软雅黑" w:hAnsi="微软雅黑" w:eastAsia="微软雅黑" w:cs="宋体"/>
          <w:color w:val="333333"/>
          <w:kern w:val="0"/>
          <w:sz w:val="24"/>
          <w:szCs w:val="24"/>
        </w:rPr>
      </w:pPr>
    </w:p>
    <w:p>
      <w:pPr>
        <w:keepLines/>
        <w:widowControl/>
        <w:shd w:val="clear" w:color="auto" w:fill="FFFFFF"/>
        <w:ind w:firstLine="645"/>
        <w:jc w:val="both"/>
        <w:rPr>
          <w:rFonts w:ascii="微软雅黑" w:hAnsi="微软雅黑" w:eastAsia="微软雅黑" w:cs="宋体"/>
          <w:color w:val="auto"/>
          <w:kern w:val="0"/>
          <w:sz w:val="24"/>
          <w:szCs w:val="24"/>
        </w:rPr>
      </w:pPr>
      <w:r>
        <w:rPr>
          <w:rFonts w:hint="eastAsia" w:ascii="黑体" w:hAnsi="黑体" w:eastAsia="黑体" w:cs="宋体"/>
          <w:color w:val="auto"/>
          <w:kern w:val="0"/>
          <w:sz w:val="32"/>
          <w:szCs w:val="32"/>
        </w:rPr>
        <w:t>一、部门职责</w:t>
      </w:r>
    </w:p>
    <w:p>
      <w:pPr>
        <w:ind w:firstLine="640" w:firstLineChars="200"/>
        <w:rPr>
          <w:rFonts w:hint="eastAsia" w:ascii="黑体" w:hAnsi="黑体" w:eastAsia="黑体" w:cs="宋体"/>
          <w:color w:val="auto"/>
          <w:kern w:val="0"/>
          <w:sz w:val="32"/>
          <w:szCs w:val="32"/>
        </w:rPr>
      </w:pPr>
      <w:r>
        <w:rPr>
          <w:rFonts w:hint="eastAsia" w:ascii="仿宋_GB2312" w:hAnsi="黑体" w:eastAsia="仿宋_GB2312"/>
          <w:color w:val="auto"/>
          <w:sz w:val="32"/>
          <w:szCs w:val="32"/>
        </w:rPr>
        <w:t>中共溪湖区司法局是溪湖区涉密部门，因涉密不允许公开本单位及其他情况。</w:t>
      </w:r>
    </w:p>
    <w:p>
      <w:pPr>
        <w:keepLines/>
        <w:widowControl/>
        <w:shd w:val="clear" w:color="auto" w:fill="FFFFFF"/>
        <w:ind w:firstLine="645"/>
        <w:jc w:val="both"/>
        <w:rPr>
          <w:rFonts w:ascii="微软雅黑" w:hAnsi="微软雅黑" w:eastAsia="微软雅黑" w:cs="宋体"/>
          <w:color w:val="auto"/>
          <w:kern w:val="0"/>
          <w:sz w:val="24"/>
          <w:szCs w:val="24"/>
        </w:rPr>
      </w:pPr>
      <w:r>
        <w:rPr>
          <w:rFonts w:hint="eastAsia" w:ascii="黑体" w:hAnsi="黑体" w:eastAsia="黑体" w:cs="宋体"/>
          <w:color w:val="auto"/>
          <w:kern w:val="0"/>
          <w:sz w:val="32"/>
          <w:szCs w:val="32"/>
        </w:rPr>
        <w:t>二、机构设置</w:t>
      </w:r>
    </w:p>
    <w:p>
      <w:pPr>
        <w:keepLines/>
        <w:widowControl/>
        <w:shd w:val="clear" w:color="auto" w:fill="FFFFFF"/>
        <w:ind w:firstLine="645"/>
        <w:jc w:val="both"/>
        <w:rPr>
          <w:rFonts w:ascii="微软雅黑" w:hAnsi="微软雅黑" w:eastAsia="微软雅黑" w:cs="宋体"/>
          <w:color w:val="auto"/>
          <w:kern w:val="0"/>
          <w:sz w:val="24"/>
          <w:szCs w:val="24"/>
        </w:rPr>
      </w:pPr>
      <w:r>
        <w:rPr>
          <w:rFonts w:hint="eastAsia" w:ascii="仿宋_GB2312" w:hAnsi="微软雅黑" w:eastAsia="仿宋_GB2312" w:cs="宋体"/>
          <w:color w:val="auto"/>
          <w:kern w:val="0"/>
          <w:sz w:val="32"/>
          <w:szCs w:val="32"/>
        </w:rPr>
        <w:t>纳入本溪市溪湖区</w:t>
      </w:r>
      <w:r>
        <w:rPr>
          <w:rFonts w:hint="eastAsia" w:ascii="仿宋_GB2312" w:hAnsi="微软雅黑" w:eastAsia="仿宋_GB2312" w:cs="宋体"/>
          <w:color w:val="auto"/>
          <w:kern w:val="0"/>
          <w:sz w:val="32"/>
          <w:szCs w:val="32"/>
          <w:lang w:eastAsia="zh-CN"/>
        </w:rPr>
        <w:t>司法局</w:t>
      </w:r>
      <w:r>
        <w:rPr>
          <w:rFonts w:hint="eastAsia" w:ascii="仿宋_GB2312" w:hAnsi="微软雅黑" w:eastAsia="仿宋_GB2312" w:cs="宋体"/>
          <w:color w:val="auto"/>
          <w:kern w:val="0"/>
          <w:sz w:val="32"/>
          <w:szCs w:val="32"/>
        </w:rPr>
        <w:t>2021年部门预算编制范围的二级预算单位包括：</w:t>
      </w:r>
    </w:p>
    <w:p>
      <w:pPr>
        <w:keepLines/>
        <w:widowControl/>
        <w:shd w:val="clear" w:color="auto" w:fill="FFFFFF"/>
        <w:jc w:val="both"/>
        <w:rPr>
          <w:rFonts w:ascii="微软雅黑" w:hAnsi="微软雅黑" w:eastAsia="微软雅黑" w:cs="宋体"/>
          <w:color w:val="auto"/>
          <w:kern w:val="0"/>
          <w:sz w:val="24"/>
          <w:szCs w:val="24"/>
        </w:rPr>
      </w:pPr>
      <w:r>
        <w:rPr>
          <w:rFonts w:hint="eastAsia" w:ascii="仿宋_GB2312" w:hAnsi="微软雅黑" w:eastAsia="仿宋_GB2312" w:cs="宋体"/>
          <w:color w:val="auto"/>
          <w:kern w:val="0"/>
          <w:sz w:val="32"/>
          <w:szCs w:val="32"/>
        </w:rPr>
        <w:t xml:space="preserve">（一） </w:t>
      </w:r>
    </w:p>
    <w:p>
      <w:pPr>
        <w:keepLines/>
        <w:widowControl/>
        <w:shd w:val="clear" w:color="auto" w:fill="FFFFFF"/>
        <w:ind w:firstLine="645"/>
        <w:jc w:val="both"/>
        <w:rPr>
          <w:rFonts w:ascii="微软雅黑" w:hAnsi="微软雅黑" w:eastAsia="微软雅黑" w:cs="宋体"/>
          <w:color w:val="333333"/>
          <w:kern w:val="0"/>
          <w:sz w:val="24"/>
          <w:szCs w:val="24"/>
        </w:rPr>
      </w:pPr>
    </w:p>
    <w:p>
      <w:pPr>
        <w:keepLines/>
        <w:widowControl/>
        <w:shd w:val="clear" w:color="auto" w:fill="FFFFFF"/>
        <w:jc w:val="both"/>
        <w:rPr>
          <w:rFonts w:ascii="微软雅黑" w:hAnsi="微软雅黑" w:eastAsia="微软雅黑" w:cs="宋体"/>
          <w:color w:val="333333"/>
          <w:kern w:val="0"/>
          <w:sz w:val="24"/>
          <w:szCs w:val="24"/>
        </w:rPr>
      </w:pPr>
    </w:p>
    <w:p>
      <w:pPr>
        <w:keepLines/>
        <w:widowControl/>
        <w:shd w:val="clear" w:color="auto" w:fill="FFFFFF"/>
        <w:jc w:val="both"/>
        <w:rPr>
          <w:rFonts w:ascii="微软雅黑" w:hAnsi="微软雅黑" w:eastAsia="微软雅黑" w:cs="宋体"/>
          <w:color w:val="333333"/>
          <w:kern w:val="0"/>
          <w:sz w:val="24"/>
          <w:szCs w:val="24"/>
        </w:rPr>
      </w:pPr>
    </w:p>
    <w:p>
      <w:pPr>
        <w:keepLines/>
        <w:widowControl/>
        <w:shd w:val="clear" w:color="auto" w:fill="FFFFFF"/>
        <w:jc w:val="both"/>
        <w:rPr>
          <w:rFonts w:ascii="微软雅黑" w:hAnsi="微软雅黑" w:eastAsia="微软雅黑" w:cs="宋体"/>
          <w:color w:val="333333"/>
          <w:kern w:val="0"/>
          <w:sz w:val="24"/>
          <w:szCs w:val="24"/>
        </w:rPr>
      </w:pPr>
    </w:p>
    <w:p>
      <w:pPr>
        <w:keepLines/>
        <w:widowControl/>
        <w:shd w:val="clear" w:color="auto" w:fill="FFFFFF"/>
        <w:jc w:val="both"/>
        <w:rPr>
          <w:rFonts w:ascii="微软雅黑" w:hAnsi="微软雅黑" w:eastAsia="微软雅黑" w:cs="宋体"/>
          <w:color w:val="333333"/>
          <w:kern w:val="0"/>
          <w:sz w:val="24"/>
          <w:szCs w:val="24"/>
        </w:rPr>
      </w:pPr>
    </w:p>
    <w:p>
      <w:pPr>
        <w:keepLines/>
        <w:widowControl/>
        <w:shd w:val="clear" w:color="auto" w:fill="FFFFFF"/>
        <w:jc w:val="both"/>
        <w:rPr>
          <w:rFonts w:ascii="微软雅黑" w:hAnsi="微软雅黑" w:eastAsia="微软雅黑" w:cs="宋体"/>
          <w:color w:val="333333"/>
          <w:kern w:val="0"/>
          <w:sz w:val="24"/>
          <w:szCs w:val="24"/>
        </w:rPr>
      </w:pPr>
    </w:p>
    <w:p>
      <w:pPr>
        <w:keepLines/>
        <w:widowControl/>
        <w:shd w:val="clear" w:color="auto" w:fill="FFFFFF"/>
        <w:jc w:val="both"/>
        <w:rPr>
          <w:rFonts w:ascii="微软雅黑" w:hAnsi="微软雅黑" w:eastAsia="微软雅黑" w:cs="宋体"/>
          <w:color w:val="333333"/>
          <w:kern w:val="0"/>
          <w:sz w:val="24"/>
          <w:szCs w:val="24"/>
        </w:rPr>
      </w:pPr>
    </w:p>
    <w:p>
      <w:pPr>
        <w:keepLines/>
        <w:widowControl/>
        <w:shd w:val="clear" w:color="auto" w:fill="FFFFFF"/>
        <w:jc w:val="both"/>
        <w:rPr>
          <w:rFonts w:ascii="微软雅黑" w:hAnsi="微软雅黑" w:eastAsia="微软雅黑" w:cs="宋体"/>
          <w:color w:val="333333"/>
          <w:kern w:val="0"/>
          <w:sz w:val="24"/>
          <w:szCs w:val="24"/>
        </w:rPr>
      </w:pPr>
    </w:p>
    <w:p>
      <w:pPr>
        <w:keepLines/>
        <w:widowControl/>
        <w:shd w:val="clear" w:color="auto" w:fill="FFFFFF"/>
        <w:jc w:val="center"/>
        <w:rPr>
          <w:rFonts w:hint="eastAsia" w:ascii="宋体" w:hAnsi="宋体" w:eastAsia="宋体" w:cs="宋体"/>
          <w:b/>
          <w:bCs/>
          <w:color w:val="333333"/>
          <w:kern w:val="0"/>
          <w:sz w:val="36"/>
          <w:szCs w:val="36"/>
        </w:rPr>
      </w:pPr>
    </w:p>
    <w:p>
      <w:pPr>
        <w:keepLines/>
        <w:widowControl/>
        <w:shd w:val="clear" w:color="auto" w:fill="FFFFFF"/>
        <w:jc w:val="center"/>
        <w:rPr>
          <w:rFonts w:hint="eastAsia" w:ascii="宋体" w:hAnsi="宋体" w:eastAsia="宋体" w:cs="宋体"/>
          <w:b/>
          <w:bCs/>
          <w:color w:val="333333"/>
          <w:kern w:val="0"/>
          <w:sz w:val="36"/>
          <w:szCs w:val="36"/>
        </w:rPr>
      </w:pPr>
    </w:p>
    <w:p>
      <w:pPr>
        <w:keepLines/>
        <w:widowControl/>
        <w:shd w:val="clear" w:color="auto" w:fill="FFFFFF"/>
        <w:jc w:val="center"/>
        <w:rPr>
          <w:rFonts w:hint="eastAsia" w:ascii="宋体" w:hAnsi="宋体" w:eastAsia="宋体" w:cs="宋体"/>
          <w:b/>
          <w:bCs/>
          <w:color w:val="333333"/>
          <w:kern w:val="0"/>
          <w:sz w:val="36"/>
          <w:szCs w:val="36"/>
        </w:rPr>
      </w:pPr>
    </w:p>
    <w:p>
      <w:pPr>
        <w:keepLines/>
        <w:widowControl/>
        <w:shd w:val="clear" w:color="auto" w:fill="FFFFFF"/>
        <w:jc w:val="center"/>
        <w:rPr>
          <w:rFonts w:hint="eastAsia" w:ascii="宋体" w:hAnsi="宋体" w:eastAsia="宋体" w:cs="宋体"/>
          <w:b/>
          <w:bCs/>
          <w:color w:val="333333"/>
          <w:kern w:val="0"/>
          <w:sz w:val="36"/>
          <w:szCs w:val="36"/>
        </w:rPr>
      </w:pPr>
    </w:p>
    <w:p>
      <w:pPr>
        <w:keepLines/>
        <w:widowControl/>
        <w:shd w:val="clear" w:color="auto" w:fill="FFFFFF"/>
        <w:jc w:val="center"/>
        <w:rPr>
          <w:rFonts w:hint="eastAsia" w:ascii="宋体" w:hAnsi="宋体" w:eastAsia="宋体" w:cs="宋体"/>
          <w:b/>
          <w:bCs/>
          <w:color w:val="333333"/>
          <w:kern w:val="0"/>
          <w:sz w:val="36"/>
          <w:szCs w:val="36"/>
        </w:rPr>
      </w:pPr>
    </w:p>
    <w:p>
      <w:pPr>
        <w:keepLines/>
        <w:widowControl/>
        <w:shd w:val="clear" w:color="auto" w:fill="FFFFFF"/>
        <w:jc w:val="center"/>
        <w:rPr>
          <w:rFonts w:hint="eastAsia" w:ascii="宋体" w:hAnsi="宋体" w:eastAsia="宋体" w:cs="宋体"/>
          <w:b/>
          <w:bCs/>
          <w:color w:val="333333"/>
          <w:kern w:val="0"/>
          <w:sz w:val="36"/>
          <w:szCs w:val="36"/>
          <w:lang w:eastAsia="zh-CN"/>
        </w:rPr>
      </w:pPr>
      <w:r>
        <w:rPr>
          <w:rFonts w:hint="eastAsia" w:ascii="宋体" w:hAnsi="宋体" w:eastAsia="宋体" w:cs="宋体"/>
          <w:b/>
          <w:bCs/>
          <w:color w:val="333333"/>
          <w:kern w:val="0"/>
          <w:sz w:val="36"/>
          <w:szCs w:val="36"/>
        </w:rPr>
        <w:t>第三部分本溪市溪湖区</w:t>
      </w:r>
      <w:r>
        <w:rPr>
          <w:rFonts w:hint="eastAsia" w:ascii="宋体" w:hAnsi="宋体" w:eastAsia="宋体" w:cs="宋体"/>
          <w:b/>
          <w:bCs/>
          <w:color w:val="333333"/>
          <w:kern w:val="0"/>
          <w:sz w:val="36"/>
          <w:szCs w:val="36"/>
          <w:lang w:eastAsia="zh-CN"/>
        </w:rPr>
        <w:t>司法局</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2021年部门预算情况说明</w:t>
      </w:r>
    </w:p>
    <w:p>
      <w:pPr>
        <w:keepLines/>
        <w:widowControl/>
        <w:shd w:val="clear" w:color="auto" w:fill="FFFFFF"/>
        <w:jc w:val="both"/>
        <w:rPr>
          <w:rFonts w:ascii="微软雅黑" w:hAnsi="微软雅黑" w:eastAsia="微软雅黑" w:cs="宋体"/>
          <w:color w:val="333333"/>
          <w:kern w:val="0"/>
          <w:sz w:val="24"/>
          <w:szCs w:val="24"/>
        </w:rPr>
      </w:pPr>
    </w:p>
    <w:p>
      <w:pPr>
        <w:keepLines/>
        <w:widowControl/>
        <w:shd w:val="clear" w:color="auto" w:fill="FFFFFF"/>
        <w:ind w:firstLine="630"/>
        <w:jc w:val="both"/>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both"/>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按照综合预算的原则，本溪市溪湖区</w:t>
      </w:r>
      <w:r>
        <w:rPr>
          <w:rFonts w:hint="eastAsia" w:ascii="仿宋_GB2312" w:hAnsi="微软雅黑" w:eastAsia="仿宋_GB2312" w:cs="宋体"/>
          <w:color w:val="333333"/>
          <w:kern w:val="0"/>
          <w:sz w:val="32"/>
          <w:szCs w:val="32"/>
          <w:lang w:eastAsia="zh-CN"/>
        </w:rPr>
        <w:t>司法局</w:t>
      </w:r>
      <w:r>
        <w:rPr>
          <w:rFonts w:hint="eastAsia" w:ascii="仿宋_GB2312" w:hAnsi="微软雅黑" w:eastAsia="仿宋_GB2312" w:cs="宋体"/>
          <w:color w:val="333333"/>
          <w:kern w:val="0"/>
          <w:sz w:val="32"/>
          <w:szCs w:val="32"/>
        </w:rPr>
        <w:t>所有收入和支出均纳入部门预算管理。其中：</w:t>
      </w:r>
    </w:p>
    <w:p>
      <w:pPr>
        <w:keepLines/>
        <w:widowControl/>
        <w:shd w:val="clear" w:color="auto" w:fill="FFFFFF"/>
        <w:ind w:firstLine="660"/>
        <w:jc w:val="both"/>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w:t>
      </w:r>
      <w:r>
        <w:rPr>
          <w:rFonts w:hint="eastAsia" w:ascii="仿宋_GB2312" w:hAnsi="微软雅黑" w:eastAsia="仿宋_GB2312" w:cs="宋体"/>
          <w:b/>
          <w:bCs/>
          <w:color w:val="333333"/>
          <w:kern w:val="0"/>
          <w:sz w:val="32"/>
          <w:szCs w:val="32"/>
          <w:lang w:val="en-US" w:eastAsia="zh-CN"/>
        </w:rPr>
        <w:t>249.45</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both"/>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w:t>
      </w:r>
      <w:r>
        <w:rPr>
          <w:rFonts w:hint="eastAsia" w:ascii="仿宋_GB2312" w:hAnsi="微软雅黑" w:eastAsia="仿宋_GB2312" w:cs="宋体"/>
          <w:color w:val="333333"/>
          <w:kern w:val="0"/>
          <w:sz w:val="32"/>
          <w:szCs w:val="32"/>
          <w:lang w:val="en-US" w:eastAsia="zh-CN"/>
        </w:rPr>
        <w:t>249.45</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both"/>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both"/>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both"/>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both"/>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both"/>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60"/>
        <w:jc w:val="both"/>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w:t>
      </w:r>
      <w:r>
        <w:rPr>
          <w:rFonts w:hint="eastAsia" w:ascii="仿宋_GB2312" w:hAnsi="微软雅黑" w:eastAsia="仿宋_GB2312" w:cs="宋体"/>
          <w:b/>
          <w:bCs/>
          <w:color w:val="333333"/>
          <w:kern w:val="0"/>
          <w:sz w:val="32"/>
          <w:szCs w:val="32"/>
          <w:lang w:val="en-US" w:eastAsia="zh-CN"/>
        </w:rPr>
        <w:t>249.45</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both"/>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w:t>
      </w:r>
      <w:r>
        <w:rPr>
          <w:rFonts w:hint="eastAsia" w:ascii="仿宋_GB2312" w:hAnsi="微软雅黑" w:eastAsia="仿宋_GB2312" w:cs="宋体"/>
          <w:color w:val="333333"/>
          <w:kern w:val="0"/>
          <w:sz w:val="32"/>
          <w:szCs w:val="32"/>
          <w:lang w:val="en-US" w:eastAsia="zh-CN"/>
        </w:rPr>
        <w:t>209.45</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both"/>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w:t>
      </w:r>
      <w:r>
        <w:rPr>
          <w:rFonts w:hint="eastAsia" w:ascii="仿宋_GB2312" w:hAnsi="微软雅黑" w:eastAsia="仿宋_GB2312" w:cs="宋体"/>
          <w:color w:val="333333"/>
          <w:kern w:val="0"/>
          <w:sz w:val="32"/>
          <w:szCs w:val="32"/>
          <w:lang w:val="en-US" w:eastAsia="zh-CN"/>
        </w:rPr>
        <w:t>40</w:t>
      </w:r>
      <w:r>
        <w:rPr>
          <w:rFonts w:hint="eastAsia" w:ascii="仿宋_GB2312" w:hAnsi="微软雅黑" w:eastAsia="仿宋_GB2312" w:cs="宋体"/>
          <w:color w:val="333333"/>
          <w:kern w:val="0"/>
          <w:sz w:val="32"/>
          <w:szCs w:val="32"/>
        </w:rPr>
        <w:t>万元；</w:t>
      </w:r>
    </w:p>
    <w:p>
      <w:pPr>
        <w:keepLines/>
        <w:widowControl/>
        <w:shd w:val="clear" w:color="auto" w:fill="FFFFFF"/>
        <w:ind w:firstLine="645"/>
        <w:jc w:val="both"/>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2021年预算收支比2020年减少</w:t>
      </w:r>
      <w:r>
        <w:rPr>
          <w:rFonts w:hint="eastAsia" w:ascii="仿宋_GB2312" w:hAnsi="微软雅黑" w:eastAsia="仿宋_GB2312" w:cs="宋体"/>
          <w:color w:val="333333"/>
          <w:kern w:val="0"/>
          <w:sz w:val="32"/>
          <w:szCs w:val="32"/>
          <w:lang w:val="en-US" w:eastAsia="zh-CN"/>
        </w:rPr>
        <w:t>124.08</w:t>
      </w:r>
      <w:r>
        <w:rPr>
          <w:rFonts w:hint="eastAsia" w:ascii="仿宋_GB2312" w:hAnsi="微软雅黑" w:eastAsia="仿宋_GB2312" w:cs="宋体"/>
          <w:color w:val="333333"/>
          <w:kern w:val="0"/>
          <w:sz w:val="32"/>
          <w:szCs w:val="32"/>
        </w:rPr>
        <w:t>万元，增减变化的主要原因为</w:t>
      </w:r>
      <w:r>
        <w:rPr>
          <w:rFonts w:hint="eastAsia" w:ascii="仿宋_GB2312" w:hAnsi="宋体" w:eastAsia="仿宋_GB2312"/>
          <w:sz w:val="32"/>
          <w:szCs w:val="32"/>
        </w:rPr>
        <w:t>发生部门及人员变更与划转</w:t>
      </w:r>
      <w:r>
        <w:rPr>
          <w:rFonts w:hint="eastAsia" w:ascii="仿宋_GB2312" w:hAnsi="微软雅黑" w:eastAsia="仿宋_GB2312" w:cs="宋体"/>
          <w:color w:val="333333"/>
          <w:kern w:val="0"/>
          <w:sz w:val="32"/>
          <w:szCs w:val="32"/>
        </w:rPr>
        <w:t>。</w:t>
      </w:r>
    </w:p>
    <w:p>
      <w:pPr>
        <w:keepLines/>
        <w:widowControl/>
        <w:shd w:val="clear" w:color="auto" w:fill="FFFFFF"/>
        <w:ind w:firstLine="660"/>
        <w:jc w:val="both"/>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both"/>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w:t>
      </w:r>
      <w:r>
        <w:rPr>
          <w:rFonts w:hint="eastAsia" w:ascii="仿宋_GB2312" w:hAnsi="微软雅黑" w:eastAsia="仿宋_GB2312" w:cs="宋体"/>
          <w:color w:val="333333"/>
          <w:kern w:val="0"/>
          <w:sz w:val="32"/>
          <w:szCs w:val="32"/>
          <w:lang w:eastAsia="zh-CN"/>
        </w:rPr>
        <w:t>司法局</w:t>
      </w:r>
      <w:r>
        <w:rPr>
          <w:rFonts w:hint="eastAsia" w:ascii="仿宋_GB2312" w:hAnsi="微软雅黑" w:eastAsia="仿宋_GB2312" w:cs="宋体"/>
          <w:color w:val="333333"/>
          <w:kern w:val="0"/>
          <w:sz w:val="32"/>
          <w:szCs w:val="32"/>
        </w:rPr>
        <w:t>机关运行经费预算为</w:t>
      </w:r>
      <w:r>
        <w:rPr>
          <w:rFonts w:hint="eastAsia" w:ascii="仿宋_GB2312" w:hAnsi="微软雅黑" w:eastAsia="仿宋_GB2312" w:cs="宋体"/>
          <w:color w:val="333333"/>
          <w:kern w:val="0"/>
          <w:sz w:val="32"/>
          <w:szCs w:val="32"/>
          <w:lang w:val="en-US" w:eastAsia="zh-CN"/>
        </w:rPr>
        <w:t>19.54</w:t>
      </w:r>
      <w:r>
        <w:rPr>
          <w:rFonts w:hint="eastAsia" w:ascii="仿宋_GB2312" w:hAnsi="微软雅黑" w:eastAsia="仿宋_GB2312" w:cs="宋体"/>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2021年预算比2020年</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lang w:val="en-US" w:eastAsia="zh-CN"/>
        </w:rPr>
        <w:t>2.18</w:t>
      </w:r>
      <w:r>
        <w:rPr>
          <w:rFonts w:hint="eastAsia" w:ascii="仿宋_GB2312" w:hAnsi="微软雅黑" w:eastAsia="仿宋_GB2312" w:cs="宋体"/>
          <w:color w:val="333333"/>
          <w:kern w:val="0"/>
          <w:sz w:val="32"/>
          <w:szCs w:val="32"/>
        </w:rPr>
        <w:t>万元，主要原因是</w:t>
      </w:r>
      <w:r>
        <w:rPr>
          <w:rFonts w:hint="eastAsia" w:ascii="仿宋_GB2312" w:hAnsi="微软雅黑" w:eastAsia="仿宋_GB2312" w:cs="宋体"/>
          <w:color w:val="333333"/>
          <w:kern w:val="0"/>
          <w:sz w:val="32"/>
          <w:szCs w:val="32"/>
          <w:lang w:eastAsia="zh-CN"/>
        </w:rPr>
        <w:t>更换老化的办公设备、修缮破损房屋</w:t>
      </w:r>
      <w:r>
        <w:rPr>
          <w:rFonts w:hint="eastAsia" w:ascii="仿宋_GB2312" w:hAnsi="微软雅黑" w:eastAsia="仿宋_GB2312" w:cs="宋体"/>
          <w:color w:val="333333"/>
          <w:kern w:val="0"/>
          <w:sz w:val="32"/>
          <w:szCs w:val="32"/>
        </w:rPr>
        <w:t>。</w:t>
      </w:r>
    </w:p>
    <w:p>
      <w:pPr>
        <w:keepLines/>
        <w:widowControl/>
        <w:shd w:val="clear" w:color="auto" w:fill="FFFFFF"/>
        <w:ind w:firstLine="660"/>
        <w:jc w:val="both"/>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both"/>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w:t>
      </w:r>
      <w:r>
        <w:rPr>
          <w:rFonts w:hint="eastAsia" w:ascii="仿宋_GB2312" w:hAnsi="微软雅黑" w:eastAsia="仿宋_GB2312" w:cs="宋体"/>
          <w:color w:val="333333"/>
          <w:kern w:val="0"/>
          <w:sz w:val="32"/>
          <w:szCs w:val="32"/>
          <w:lang w:eastAsia="zh-CN"/>
        </w:rPr>
        <w:t>司法局</w:t>
      </w:r>
      <w:r>
        <w:rPr>
          <w:rFonts w:hint="eastAsia" w:ascii="仿宋_GB2312" w:hAnsi="微软雅黑" w:eastAsia="仿宋_GB2312" w:cs="宋体"/>
          <w:color w:val="333333"/>
          <w:kern w:val="0"/>
          <w:sz w:val="32"/>
          <w:szCs w:val="32"/>
        </w:rPr>
        <w:t>安排政府采购预算</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万元，其中：政府采购货物支出0万元，政府购买服务支出</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万元，政府采购工程支出0万元。</w:t>
      </w:r>
    </w:p>
    <w:p>
      <w:pPr>
        <w:keepLines/>
        <w:widowControl/>
        <w:shd w:val="clear" w:color="auto" w:fill="FFFFFF"/>
        <w:ind w:firstLine="660"/>
        <w:jc w:val="both"/>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both"/>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w:t>
      </w:r>
      <w:r>
        <w:rPr>
          <w:rFonts w:hint="eastAsia" w:ascii="仿宋_GB2312" w:hAnsi="微软雅黑" w:eastAsia="仿宋_GB2312" w:cs="宋体"/>
          <w:color w:val="333333"/>
          <w:kern w:val="0"/>
          <w:sz w:val="32"/>
          <w:szCs w:val="32"/>
          <w:lang w:eastAsia="zh-CN"/>
        </w:rPr>
        <w:t>司法局</w:t>
      </w:r>
      <w:r>
        <w:rPr>
          <w:rFonts w:hint="eastAsia" w:ascii="仿宋_GB2312" w:hAnsi="微软雅黑" w:eastAsia="仿宋_GB2312" w:cs="宋体"/>
          <w:color w:val="333333"/>
          <w:kern w:val="0"/>
          <w:sz w:val="32"/>
          <w:szCs w:val="32"/>
        </w:rPr>
        <w:t>一般公共预算安排“三公”经费预算为</w:t>
      </w:r>
      <w:r>
        <w:rPr>
          <w:rFonts w:hint="eastAsia" w:ascii="仿宋_GB2312" w:hAnsi="微软雅黑" w:eastAsia="仿宋_GB2312" w:cs="宋体"/>
          <w:color w:val="333333"/>
          <w:kern w:val="0"/>
          <w:sz w:val="32"/>
          <w:szCs w:val="32"/>
          <w:lang w:val="en-US" w:eastAsia="zh-CN"/>
        </w:rPr>
        <w:t>2.27</w:t>
      </w:r>
      <w:r>
        <w:rPr>
          <w:rFonts w:hint="eastAsia" w:ascii="仿宋_GB2312" w:hAnsi="微软雅黑" w:eastAsia="仿宋_GB2312" w:cs="宋体"/>
          <w:color w:val="333333"/>
          <w:kern w:val="0"/>
          <w:sz w:val="32"/>
          <w:szCs w:val="32"/>
        </w:rPr>
        <w:t>万元，</w:t>
      </w:r>
      <w:r>
        <w:rPr>
          <w:rFonts w:hint="eastAsia" w:ascii="仿宋_GB2312" w:hAnsi="微软雅黑" w:eastAsia="仿宋_GB2312" w:cs="宋体"/>
          <w:color w:val="333333"/>
          <w:kern w:val="0"/>
          <w:sz w:val="32"/>
          <w:szCs w:val="32"/>
          <w:lang w:eastAsia="zh-CN"/>
        </w:rPr>
        <w:t>与</w:t>
      </w:r>
      <w:r>
        <w:rPr>
          <w:rFonts w:hint="eastAsia" w:ascii="仿宋_GB2312" w:hAnsi="微软雅黑" w:eastAsia="仿宋_GB2312" w:cs="宋体"/>
          <w:color w:val="333333"/>
          <w:kern w:val="0"/>
          <w:sz w:val="32"/>
          <w:szCs w:val="32"/>
        </w:rPr>
        <w:t>2020年</w:t>
      </w:r>
      <w:r>
        <w:rPr>
          <w:rFonts w:hint="eastAsia" w:ascii="仿宋_GB2312" w:hAnsi="微软雅黑" w:eastAsia="仿宋_GB2312" w:cs="宋体"/>
          <w:color w:val="333333"/>
          <w:kern w:val="0"/>
          <w:sz w:val="32"/>
          <w:szCs w:val="32"/>
          <w:lang w:eastAsia="zh-CN"/>
        </w:rPr>
        <w:t>相同</w:t>
      </w:r>
      <w:r>
        <w:rPr>
          <w:rFonts w:hint="eastAsia" w:ascii="仿宋_GB2312" w:hAnsi="微软雅黑" w:eastAsia="仿宋_GB2312" w:cs="宋体"/>
          <w:color w:val="333333"/>
          <w:kern w:val="0"/>
          <w:sz w:val="32"/>
          <w:szCs w:val="32"/>
        </w:rPr>
        <w:t>。其中：</w:t>
      </w:r>
    </w:p>
    <w:p>
      <w:pPr>
        <w:keepLines/>
        <w:widowControl/>
        <w:numPr>
          <w:numId w:val="0"/>
        </w:numPr>
        <w:shd w:val="clear" w:color="auto" w:fill="FFFFFF"/>
        <w:ind w:firstLine="640" w:firstLineChars="200"/>
        <w:jc w:val="both"/>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lang w:val="en-US" w:eastAsia="zh-CN"/>
        </w:rPr>
        <w:t>1、</w:t>
      </w:r>
      <w:r>
        <w:rPr>
          <w:rFonts w:hint="eastAsia" w:ascii="仿宋_GB2312" w:hAnsi="微软雅黑" w:eastAsia="仿宋_GB2312" w:cs="宋体"/>
          <w:color w:val="333333"/>
          <w:kern w:val="0"/>
          <w:sz w:val="32"/>
          <w:szCs w:val="32"/>
        </w:rPr>
        <w:t>因公出国（境）费0万元，</w:t>
      </w:r>
      <w:r>
        <w:rPr>
          <w:rFonts w:hint="eastAsia" w:ascii="仿宋_GB2312" w:hAnsi="微软雅黑" w:eastAsia="仿宋_GB2312" w:cs="宋体"/>
          <w:color w:val="333333"/>
          <w:kern w:val="0"/>
          <w:sz w:val="32"/>
          <w:szCs w:val="32"/>
          <w:lang w:eastAsia="zh-CN"/>
        </w:rPr>
        <w:t>与</w:t>
      </w:r>
      <w:r>
        <w:rPr>
          <w:rFonts w:hint="eastAsia" w:ascii="仿宋_GB2312" w:hAnsi="微软雅黑" w:eastAsia="仿宋_GB2312" w:cs="宋体"/>
          <w:color w:val="333333"/>
          <w:kern w:val="0"/>
          <w:sz w:val="32"/>
          <w:szCs w:val="32"/>
        </w:rPr>
        <w:t>2020年持平</w:t>
      </w:r>
      <w:r>
        <w:rPr>
          <w:rFonts w:hint="eastAsia" w:ascii="仿宋_GB2312" w:hAnsi="微软雅黑" w:eastAsia="仿宋_GB2312" w:cs="宋体"/>
          <w:color w:val="333333"/>
          <w:kern w:val="0"/>
          <w:sz w:val="32"/>
          <w:szCs w:val="32"/>
          <w:lang w:eastAsia="zh-CN"/>
        </w:rPr>
        <w:t>。</w:t>
      </w:r>
    </w:p>
    <w:p>
      <w:pPr>
        <w:keepLines/>
        <w:widowControl/>
        <w:numPr>
          <w:numId w:val="0"/>
        </w:numPr>
        <w:shd w:val="clear" w:color="auto" w:fill="FFFFFF"/>
        <w:ind w:firstLine="640" w:firstLineChars="200"/>
        <w:jc w:val="both"/>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lang w:val="en-US" w:eastAsia="zh-CN"/>
        </w:rPr>
        <w:t>2、</w:t>
      </w:r>
      <w:r>
        <w:rPr>
          <w:rFonts w:hint="eastAsia" w:ascii="仿宋_GB2312" w:hAnsi="微软雅黑" w:eastAsia="仿宋_GB2312" w:cs="宋体"/>
          <w:color w:val="333333"/>
          <w:kern w:val="0"/>
          <w:sz w:val="32"/>
          <w:szCs w:val="32"/>
        </w:rPr>
        <w:t>公务接待费0</w:t>
      </w:r>
      <w:r>
        <w:rPr>
          <w:rFonts w:hint="eastAsia" w:ascii="仿宋_GB2312" w:hAnsi="微软雅黑" w:eastAsia="仿宋_GB2312" w:cs="宋体"/>
          <w:color w:val="333333"/>
          <w:kern w:val="0"/>
          <w:sz w:val="32"/>
          <w:szCs w:val="32"/>
          <w:lang w:val="en-US" w:eastAsia="zh-CN"/>
        </w:rPr>
        <w:t>.17</w:t>
      </w:r>
      <w:r>
        <w:rPr>
          <w:rFonts w:hint="eastAsia" w:ascii="仿宋_GB2312" w:hAnsi="微软雅黑" w:eastAsia="仿宋_GB2312" w:cs="宋体"/>
          <w:color w:val="333333"/>
          <w:kern w:val="0"/>
          <w:sz w:val="32"/>
          <w:szCs w:val="32"/>
        </w:rPr>
        <w:t>万元，</w:t>
      </w:r>
      <w:r>
        <w:rPr>
          <w:rFonts w:hint="eastAsia" w:ascii="仿宋_GB2312" w:hAnsi="微软雅黑" w:eastAsia="仿宋_GB2312" w:cs="宋体"/>
          <w:color w:val="333333"/>
          <w:kern w:val="0"/>
          <w:sz w:val="32"/>
          <w:szCs w:val="32"/>
          <w:lang w:eastAsia="zh-CN"/>
        </w:rPr>
        <w:t>与</w:t>
      </w:r>
      <w:r>
        <w:rPr>
          <w:rFonts w:hint="eastAsia" w:ascii="仿宋_GB2312" w:hAnsi="微软雅黑" w:eastAsia="仿宋_GB2312" w:cs="宋体"/>
          <w:color w:val="333333"/>
          <w:kern w:val="0"/>
          <w:sz w:val="32"/>
          <w:szCs w:val="32"/>
        </w:rPr>
        <w:t>2020年持平</w:t>
      </w:r>
      <w:r>
        <w:rPr>
          <w:rFonts w:hint="eastAsia" w:ascii="仿宋_GB2312" w:hAnsi="微软雅黑" w:eastAsia="仿宋_GB2312" w:cs="宋体"/>
          <w:color w:val="333333"/>
          <w:kern w:val="0"/>
          <w:sz w:val="32"/>
          <w:szCs w:val="32"/>
          <w:lang w:eastAsia="zh-CN"/>
        </w:rPr>
        <w:t>。</w:t>
      </w:r>
    </w:p>
    <w:p>
      <w:pPr>
        <w:keepLines/>
        <w:widowControl/>
        <w:shd w:val="clear" w:color="auto" w:fill="FFFFFF"/>
        <w:ind w:firstLine="640" w:firstLineChars="200"/>
        <w:jc w:val="both"/>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lang w:val="en-US" w:eastAsia="zh-CN"/>
        </w:rPr>
        <w:t>3、</w:t>
      </w:r>
      <w:r>
        <w:rPr>
          <w:rFonts w:hint="eastAsia" w:ascii="仿宋_GB2312" w:hAnsi="微软雅黑" w:eastAsia="仿宋_GB2312" w:cs="宋体"/>
          <w:color w:val="333333"/>
          <w:kern w:val="0"/>
          <w:sz w:val="32"/>
          <w:szCs w:val="32"/>
        </w:rPr>
        <w:t>公务用车购置及运行费</w:t>
      </w:r>
      <w:r>
        <w:rPr>
          <w:rFonts w:hint="eastAsia" w:ascii="仿宋_GB2312" w:hAnsi="微软雅黑" w:eastAsia="仿宋_GB2312" w:cs="宋体"/>
          <w:color w:val="333333"/>
          <w:kern w:val="0"/>
          <w:sz w:val="32"/>
          <w:szCs w:val="32"/>
          <w:lang w:val="en-US" w:eastAsia="zh-CN"/>
        </w:rPr>
        <w:t>2.10</w:t>
      </w:r>
      <w:r>
        <w:rPr>
          <w:rFonts w:hint="eastAsia" w:ascii="仿宋_GB2312" w:hAnsi="微软雅黑" w:eastAsia="仿宋_GB2312" w:cs="宋体"/>
          <w:color w:val="333333"/>
          <w:kern w:val="0"/>
          <w:sz w:val="32"/>
          <w:szCs w:val="32"/>
        </w:rPr>
        <w:t>万元，</w:t>
      </w:r>
      <w:r>
        <w:rPr>
          <w:rFonts w:hint="eastAsia" w:ascii="仿宋_GB2312" w:hAnsi="微软雅黑" w:eastAsia="仿宋_GB2312" w:cs="宋体"/>
          <w:color w:val="333333"/>
          <w:kern w:val="0"/>
          <w:sz w:val="32"/>
          <w:szCs w:val="32"/>
          <w:lang w:eastAsia="zh-CN"/>
        </w:rPr>
        <w:t>与</w:t>
      </w:r>
      <w:r>
        <w:rPr>
          <w:rFonts w:hint="eastAsia" w:ascii="仿宋_GB2312" w:hAnsi="微软雅黑" w:eastAsia="仿宋_GB2312" w:cs="宋体"/>
          <w:color w:val="333333"/>
          <w:kern w:val="0"/>
          <w:sz w:val="32"/>
          <w:szCs w:val="32"/>
        </w:rPr>
        <w:t>2020年持平。</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2021年本溪市溪湖区</w:t>
      </w:r>
      <w:r>
        <w:rPr>
          <w:rFonts w:hint="eastAsia" w:ascii="仿宋_GB2312" w:hAnsi="微软雅黑" w:eastAsia="仿宋_GB2312" w:cs="宋体"/>
          <w:b/>
          <w:bCs/>
          <w:color w:val="333333"/>
          <w:kern w:val="0"/>
          <w:sz w:val="32"/>
          <w:szCs w:val="32"/>
          <w:lang w:eastAsia="zh-CN"/>
        </w:rPr>
        <w:t>司法局</w:t>
      </w:r>
      <w:r>
        <w:rPr>
          <w:rFonts w:hint="eastAsia" w:ascii="仿宋_GB2312" w:hAnsi="微软雅黑" w:eastAsia="仿宋_GB2312" w:cs="宋体"/>
          <w:b/>
          <w:bCs/>
          <w:color w:val="333333"/>
          <w:kern w:val="0"/>
          <w:sz w:val="32"/>
          <w:szCs w:val="32"/>
        </w:rPr>
        <w:t>“三公”经费预算表</w:t>
      </w:r>
    </w:p>
    <w:p>
      <w:pPr>
        <w:keepLines/>
        <w:widowControl/>
        <w:shd w:val="clear" w:color="auto" w:fill="FFFFFF"/>
        <w:jc w:val="righ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3"/>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auto" w:sz="4" w:space="0"/>
              <w:left w:val="single" w:color="auto" w:sz="4" w:space="0"/>
              <w:bottom w:val="single" w:color="000000" w:sz="6" w:space="0"/>
              <w:right w:val="single" w:color="000000" w:sz="6" w:space="0"/>
            </w:tcBorders>
            <w:tcMar>
              <w:top w:w="15" w:type="dxa"/>
              <w:left w:w="15" w:type="dxa"/>
              <w:bottom w:w="15" w:type="dxa"/>
              <w:right w:w="15" w:type="dxa"/>
            </w:tcMar>
            <w:vAlign w:val="center"/>
          </w:tcPr>
          <w:p>
            <w:pPr>
              <w:keepLines/>
              <w:widowControl/>
              <w:jc w:val="both"/>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auto" w:sz="4" w:space="0"/>
              <w:left w:val="nil"/>
              <w:bottom w:val="single" w:color="DDDDDD" w:sz="6" w:space="0"/>
              <w:right w:val="single" w:color="auto" w:sz="4" w:space="0"/>
            </w:tcBorders>
            <w:tcMar>
              <w:top w:w="15" w:type="dxa"/>
              <w:left w:w="15" w:type="dxa"/>
              <w:bottom w:w="15" w:type="dxa"/>
              <w:right w:w="15" w:type="dxa"/>
            </w:tcMar>
            <w:vAlign w:val="center"/>
          </w:tcPr>
          <w:p>
            <w:pPr>
              <w:keepLines/>
              <w:widowControl/>
              <w:jc w:val="both"/>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4125" w:type="dxa"/>
            <w:vMerge w:val="continue"/>
            <w:tcBorders>
              <w:top w:val="single" w:color="000000" w:sz="6" w:space="0"/>
              <w:left w:val="single" w:color="auto" w:sz="4" w:space="0"/>
              <w:bottom w:val="single" w:color="000000" w:sz="6" w:space="0"/>
              <w:right w:val="single" w:color="000000" w:sz="6" w:space="0"/>
            </w:tcBorders>
            <w:vAlign w:val="center"/>
          </w:tcPr>
          <w:p>
            <w:pPr>
              <w:keepLines/>
              <w:widowControl/>
              <w:jc w:val="both"/>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both"/>
              <w:textAlignment w:val="center"/>
              <w:rPr>
                <w:rFonts w:ascii="宋体" w:hAnsi="宋体" w:eastAsia="宋体" w:cs="宋体"/>
                <w:kern w:val="0"/>
                <w:sz w:val="24"/>
                <w:szCs w:val="24"/>
              </w:rPr>
            </w:pPr>
            <w:r>
              <w:rPr>
                <w:rFonts w:hint="eastAsia" w:ascii="宋体" w:hAnsi="宋体" w:eastAsia="宋体" w:cs="宋体"/>
                <w:b/>
                <w:bCs/>
                <w:kern w:val="0"/>
                <w:sz w:val="24"/>
                <w:szCs w:val="24"/>
              </w:rPr>
              <w:t>2020年</w:t>
            </w:r>
          </w:p>
        </w:tc>
        <w:tc>
          <w:tcPr>
            <w:tcW w:w="2355" w:type="dxa"/>
            <w:tcBorders>
              <w:top w:val="single" w:color="000000" w:sz="6" w:space="0"/>
              <w:left w:val="nil"/>
              <w:bottom w:val="single" w:color="000000" w:sz="6" w:space="0"/>
              <w:right w:val="single" w:color="auto" w:sz="4" w:space="0"/>
            </w:tcBorders>
            <w:tcMar>
              <w:top w:w="15" w:type="dxa"/>
              <w:left w:w="15" w:type="dxa"/>
              <w:bottom w:w="15" w:type="dxa"/>
              <w:right w:w="15" w:type="dxa"/>
            </w:tcMar>
            <w:vAlign w:val="center"/>
          </w:tcPr>
          <w:p>
            <w:pPr>
              <w:keepLines/>
              <w:widowControl/>
              <w:jc w:val="both"/>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r>
      <w:tr>
        <w:tblPrEx>
          <w:tblCellMar>
            <w:top w:w="0" w:type="dxa"/>
            <w:left w:w="0" w:type="dxa"/>
            <w:bottom w:w="0" w:type="dxa"/>
            <w:right w:w="0" w:type="dxa"/>
          </w:tblCellMar>
        </w:tblPrEx>
        <w:trPr>
          <w:trHeight w:val="540" w:hRule="atLeast"/>
        </w:trPr>
        <w:tc>
          <w:tcPr>
            <w:tcW w:w="4125" w:type="dxa"/>
            <w:tcBorders>
              <w:top w:val="nil"/>
              <w:left w:val="single" w:color="auto" w:sz="4" w:space="0"/>
              <w:bottom w:val="single" w:color="000000" w:sz="6" w:space="0"/>
              <w:right w:val="single" w:color="000000" w:sz="6" w:space="0"/>
            </w:tcBorders>
            <w:tcMar>
              <w:top w:w="15" w:type="dxa"/>
              <w:left w:w="15" w:type="dxa"/>
              <w:bottom w:w="15" w:type="dxa"/>
              <w:right w:w="15" w:type="dxa"/>
            </w:tcMar>
            <w:vAlign w:val="center"/>
          </w:tcPr>
          <w:p>
            <w:pPr>
              <w:keepLines/>
              <w:widowControl/>
              <w:jc w:val="both"/>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both"/>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2.27</w:t>
            </w:r>
          </w:p>
        </w:tc>
        <w:tc>
          <w:tcPr>
            <w:tcW w:w="2355" w:type="dxa"/>
            <w:tcBorders>
              <w:top w:val="nil"/>
              <w:left w:val="nil"/>
              <w:bottom w:val="single" w:color="DDDDDD" w:sz="6" w:space="0"/>
              <w:right w:val="single" w:color="auto" w:sz="4" w:space="0"/>
            </w:tcBorders>
            <w:tcMar>
              <w:top w:w="15" w:type="dxa"/>
              <w:left w:w="15" w:type="dxa"/>
              <w:bottom w:w="15" w:type="dxa"/>
              <w:right w:w="15" w:type="dxa"/>
            </w:tcMar>
            <w:vAlign w:val="center"/>
          </w:tcPr>
          <w:p>
            <w:pPr>
              <w:keepLines/>
              <w:widowControl/>
              <w:jc w:val="both"/>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2.27</w:t>
            </w:r>
          </w:p>
        </w:tc>
      </w:tr>
      <w:tr>
        <w:tblPrEx>
          <w:tblCellMar>
            <w:top w:w="0" w:type="dxa"/>
            <w:left w:w="0" w:type="dxa"/>
            <w:bottom w:w="0" w:type="dxa"/>
            <w:right w:w="0" w:type="dxa"/>
          </w:tblCellMar>
        </w:tblPrEx>
        <w:trPr>
          <w:trHeight w:val="540" w:hRule="atLeast"/>
        </w:trPr>
        <w:tc>
          <w:tcPr>
            <w:tcW w:w="4125" w:type="dxa"/>
            <w:tcBorders>
              <w:top w:val="nil"/>
              <w:left w:val="single" w:color="auto" w:sz="4" w:space="0"/>
              <w:bottom w:val="single" w:color="000000" w:sz="6" w:space="0"/>
              <w:right w:val="single" w:color="DDDDDD" w:sz="6" w:space="0"/>
            </w:tcBorders>
            <w:tcMar>
              <w:top w:w="15" w:type="dxa"/>
              <w:left w:w="15" w:type="dxa"/>
              <w:bottom w:w="15" w:type="dxa"/>
              <w:right w:w="15" w:type="dxa"/>
            </w:tcMar>
            <w:vAlign w:val="center"/>
          </w:tcPr>
          <w:p>
            <w:pPr>
              <w:keepLines/>
              <w:widowControl/>
              <w:jc w:val="both"/>
              <w:textAlignment w:val="center"/>
              <w:rPr>
                <w:rFonts w:ascii="宋体" w:hAnsi="宋体" w:eastAsia="宋体" w:cs="宋体"/>
                <w:kern w:val="0"/>
                <w:sz w:val="24"/>
                <w:szCs w:val="24"/>
              </w:rPr>
            </w:pPr>
            <w:r>
              <w:rPr>
                <w:rFonts w:hint="eastAsia" w:ascii="宋体" w:hAnsi="宋体" w:eastAsia="宋体" w:cs="宋体"/>
                <w:kern w:val="0"/>
                <w:sz w:val="24"/>
                <w:szCs w:val="24"/>
              </w:rPr>
              <w:t>1、因公出国（</w:t>
            </w:r>
            <w:bookmarkStart w:id="1" w:name="_GoBack"/>
            <w:bookmarkEnd w:id="1"/>
            <w:r>
              <w:rPr>
                <w:rFonts w:hint="eastAsia" w:ascii="宋体" w:hAnsi="宋体" w:eastAsia="宋体" w:cs="宋体"/>
                <w:kern w:val="0"/>
                <w:sz w:val="24"/>
                <w:szCs w:val="24"/>
              </w:rPr>
              <w:t>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both"/>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000000" w:sz="6" w:space="0"/>
              <w:left w:val="single" w:color="000000" w:sz="6" w:space="0"/>
              <w:bottom w:val="single" w:color="000000" w:sz="6" w:space="0"/>
              <w:right w:val="single" w:color="auto" w:sz="4" w:space="0"/>
            </w:tcBorders>
            <w:tcMar>
              <w:top w:w="15" w:type="dxa"/>
              <w:left w:w="15" w:type="dxa"/>
              <w:bottom w:w="15" w:type="dxa"/>
              <w:right w:w="15" w:type="dxa"/>
            </w:tcMar>
            <w:vAlign w:val="center"/>
          </w:tcPr>
          <w:p>
            <w:pPr>
              <w:keepLines/>
              <w:widowControl/>
              <w:jc w:val="both"/>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auto" w:sz="4" w:space="0"/>
              <w:bottom w:val="single" w:color="000000" w:sz="6" w:space="0"/>
              <w:right w:val="single" w:color="DDDDDD" w:sz="6" w:space="0"/>
            </w:tcBorders>
            <w:tcMar>
              <w:top w:w="15" w:type="dxa"/>
              <w:left w:w="15" w:type="dxa"/>
              <w:bottom w:w="15" w:type="dxa"/>
              <w:right w:w="15" w:type="dxa"/>
            </w:tcMar>
            <w:vAlign w:val="center"/>
          </w:tcPr>
          <w:p>
            <w:pPr>
              <w:keepLines/>
              <w:widowControl/>
              <w:jc w:val="both"/>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both"/>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0.17</w:t>
            </w:r>
          </w:p>
        </w:tc>
        <w:tc>
          <w:tcPr>
            <w:tcW w:w="2355" w:type="dxa"/>
            <w:tcBorders>
              <w:top w:val="single" w:color="DDDDDD" w:sz="6" w:space="0"/>
              <w:left w:val="single" w:color="000000" w:sz="6" w:space="0"/>
              <w:bottom w:val="single" w:color="000000" w:sz="6" w:space="0"/>
              <w:right w:val="single" w:color="auto" w:sz="4" w:space="0"/>
            </w:tcBorders>
            <w:tcMar>
              <w:top w:w="15" w:type="dxa"/>
              <w:left w:w="15" w:type="dxa"/>
              <w:bottom w:w="15" w:type="dxa"/>
              <w:right w:w="15" w:type="dxa"/>
            </w:tcMar>
            <w:vAlign w:val="center"/>
          </w:tcPr>
          <w:p>
            <w:pPr>
              <w:keepLines/>
              <w:widowControl/>
              <w:jc w:val="both"/>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0.17</w:t>
            </w:r>
          </w:p>
        </w:tc>
      </w:tr>
      <w:tr>
        <w:tblPrEx>
          <w:tblCellMar>
            <w:top w:w="0" w:type="dxa"/>
            <w:left w:w="0" w:type="dxa"/>
            <w:bottom w:w="0" w:type="dxa"/>
            <w:right w:w="0" w:type="dxa"/>
          </w:tblCellMar>
        </w:tblPrEx>
        <w:trPr>
          <w:trHeight w:val="540" w:hRule="atLeast"/>
        </w:trPr>
        <w:tc>
          <w:tcPr>
            <w:tcW w:w="4125" w:type="dxa"/>
            <w:tcBorders>
              <w:top w:val="nil"/>
              <w:left w:val="single" w:color="auto" w:sz="4" w:space="0"/>
              <w:bottom w:val="single" w:color="000000" w:sz="6" w:space="0"/>
              <w:right w:val="single" w:color="DDDDDD" w:sz="6" w:space="0"/>
            </w:tcBorders>
            <w:tcMar>
              <w:top w:w="15" w:type="dxa"/>
              <w:left w:w="15" w:type="dxa"/>
              <w:bottom w:w="15" w:type="dxa"/>
              <w:right w:w="15" w:type="dxa"/>
            </w:tcMar>
            <w:vAlign w:val="center"/>
          </w:tcPr>
          <w:p>
            <w:pPr>
              <w:keepLines/>
              <w:widowControl/>
              <w:jc w:val="both"/>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both"/>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w:t>
            </w:r>
          </w:p>
        </w:tc>
        <w:tc>
          <w:tcPr>
            <w:tcW w:w="2355" w:type="dxa"/>
            <w:tcBorders>
              <w:top w:val="single" w:color="DDDDDD" w:sz="6" w:space="0"/>
              <w:left w:val="single" w:color="000000" w:sz="6" w:space="0"/>
              <w:bottom w:val="single" w:color="DDDDDD" w:sz="6" w:space="0"/>
              <w:right w:val="single" w:color="auto" w:sz="4" w:space="0"/>
            </w:tcBorders>
            <w:tcMar>
              <w:top w:w="15" w:type="dxa"/>
              <w:left w:w="15" w:type="dxa"/>
              <w:bottom w:w="15" w:type="dxa"/>
              <w:right w:w="15" w:type="dxa"/>
            </w:tcMar>
            <w:vAlign w:val="center"/>
          </w:tcPr>
          <w:p>
            <w:pPr>
              <w:keepLines/>
              <w:widowControl/>
              <w:jc w:val="both"/>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w:t>
            </w:r>
          </w:p>
        </w:tc>
      </w:tr>
      <w:tr>
        <w:tblPrEx>
          <w:tblCellMar>
            <w:top w:w="0" w:type="dxa"/>
            <w:left w:w="0" w:type="dxa"/>
            <w:bottom w:w="0" w:type="dxa"/>
            <w:right w:w="0" w:type="dxa"/>
          </w:tblCellMar>
        </w:tblPrEx>
        <w:trPr>
          <w:trHeight w:val="540" w:hRule="atLeast"/>
        </w:trPr>
        <w:tc>
          <w:tcPr>
            <w:tcW w:w="4125" w:type="dxa"/>
            <w:tcBorders>
              <w:top w:val="nil"/>
              <w:left w:val="single" w:color="auto" w:sz="4" w:space="0"/>
              <w:bottom w:val="single" w:color="000000" w:sz="6" w:space="0"/>
              <w:right w:val="single" w:color="DDDDDD" w:sz="6" w:space="0"/>
            </w:tcBorders>
            <w:tcMar>
              <w:top w:w="15" w:type="dxa"/>
              <w:left w:w="15" w:type="dxa"/>
              <w:bottom w:w="15" w:type="dxa"/>
              <w:right w:w="15" w:type="dxa"/>
            </w:tcMar>
            <w:vAlign w:val="center"/>
          </w:tcPr>
          <w:p>
            <w:pPr>
              <w:keepLines/>
              <w:widowControl/>
              <w:jc w:val="both"/>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both"/>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000000" w:sz="6" w:space="0"/>
              <w:left w:val="single" w:color="000000" w:sz="6" w:space="0"/>
              <w:bottom w:val="single" w:color="000000" w:sz="6" w:space="0"/>
              <w:right w:val="single" w:color="auto" w:sz="4" w:space="0"/>
            </w:tcBorders>
            <w:tcMar>
              <w:top w:w="15" w:type="dxa"/>
              <w:left w:w="15" w:type="dxa"/>
              <w:bottom w:w="15" w:type="dxa"/>
              <w:right w:w="15" w:type="dxa"/>
            </w:tcMar>
            <w:vAlign w:val="center"/>
          </w:tcPr>
          <w:p>
            <w:pPr>
              <w:keepLines/>
              <w:widowControl/>
              <w:jc w:val="both"/>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auto" w:sz="4" w:space="0"/>
              <w:bottom w:val="single" w:color="auto" w:sz="4" w:space="0"/>
              <w:right w:val="single" w:color="DDDDDD" w:sz="6" w:space="0"/>
            </w:tcBorders>
            <w:tcMar>
              <w:top w:w="15" w:type="dxa"/>
              <w:left w:w="15" w:type="dxa"/>
              <w:bottom w:w="15" w:type="dxa"/>
              <w:right w:w="15" w:type="dxa"/>
            </w:tcMar>
            <w:vAlign w:val="center"/>
          </w:tcPr>
          <w:p>
            <w:pPr>
              <w:keepLines/>
              <w:widowControl/>
              <w:jc w:val="both"/>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auto" w:sz="4" w:space="0"/>
              <w:right w:val="single" w:color="DDDDDD" w:sz="6" w:space="0"/>
            </w:tcBorders>
            <w:tcMar>
              <w:top w:w="15" w:type="dxa"/>
              <w:left w:w="15" w:type="dxa"/>
              <w:bottom w:w="15" w:type="dxa"/>
              <w:right w:w="15" w:type="dxa"/>
            </w:tcMar>
            <w:vAlign w:val="center"/>
          </w:tcPr>
          <w:p>
            <w:pPr>
              <w:keepLines/>
              <w:widowControl/>
              <w:jc w:val="both"/>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w:t>
            </w:r>
          </w:p>
        </w:tc>
        <w:tc>
          <w:tcPr>
            <w:tcW w:w="2355" w:type="dxa"/>
            <w:tcBorders>
              <w:top w:val="single" w:color="DDDDDD" w:sz="6" w:space="0"/>
              <w:left w:val="single" w:color="000000" w:sz="6" w:space="0"/>
              <w:bottom w:val="single" w:color="auto" w:sz="4" w:space="0"/>
              <w:right w:val="single" w:color="auto" w:sz="4" w:space="0"/>
            </w:tcBorders>
            <w:tcMar>
              <w:top w:w="15" w:type="dxa"/>
              <w:left w:w="15" w:type="dxa"/>
              <w:bottom w:w="15" w:type="dxa"/>
              <w:right w:w="15" w:type="dxa"/>
            </w:tcMar>
            <w:vAlign w:val="center"/>
          </w:tcPr>
          <w:p>
            <w:pPr>
              <w:keepLines/>
              <w:widowControl/>
              <w:jc w:val="both"/>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2.10</w:t>
            </w:r>
          </w:p>
        </w:tc>
      </w:tr>
    </w:tbl>
    <w:p>
      <w:pPr>
        <w:keepLines/>
        <w:widowControl/>
        <w:shd w:val="clear" w:color="auto" w:fill="FFFFFF"/>
        <w:jc w:val="both"/>
        <w:rPr>
          <w:rFonts w:ascii="微软雅黑" w:hAnsi="微软雅黑" w:eastAsia="微软雅黑" w:cs="宋体"/>
          <w:color w:val="333333"/>
          <w:kern w:val="0"/>
          <w:sz w:val="24"/>
          <w:szCs w:val="24"/>
        </w:rPr>
      </w:pPr>
    </w:p>
    <w:p>
      <w:pPr>
        <w:keepLines/>
        <w:widowControl/>
        <w:shd w:val="clear" w:color="auto" w:fill="FFFFFF"/>
        <w:ind w:firstLine="645"/>
        <w:jc w:val="both"/>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both"/>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本溪市溪湖区</w:t>
      </w:r>
      <w:r>
        <w:rPr>
          <w:rFonts w:hint="eastAsia" w:ascii="仿宋_GB2312" w:hAnsi="微软雅黑" w:eastAsia="仿宋_GB2312" w:cs="宋体"/>
          <w:color w:val="333333"/>
          <w:kern w:val="0"/>
          <w:sz w:val="32"/>
          <w:szCs w:val="32"/>
          <w:lang w:eastAsia="zh-CN"/>
        </w:rPr>
        <w:t>司法局</w:t>
      </w:r>
      <w:r>
        <w:rPr>
          <w:rFonts w:hint="eastAsia" w:ascii="仿宋_GB2312" w:hAnsi="微软雅黑" w:eastAsia="仿宋_GB2312" w:cs="宋体"/>
          <w:color w:val="333333"/>
          <w:kern w:val="0"/>
          <w:sz w:val="32"/>
          <w:szCs w:val="32"/>
        </w:rPr>
        <w:t>共有车辆</w:t>
      </w:r>
      <w:r>
        <w:rPr>
          <w:rFonts w:hint="eastAsia" w:ascii="仿宋_GB2312" w:hAnsi="微软雅黑" w:eastAsia="仿宋_GB2312" w:cs="宋体"/>
          <w:color w:val="333333"/>
          <w:kern w:val="0"/>
          <w:sz w:val="32"/>
          <w:szCs w:val="32"/>
          <w:lang w:val="en-US" w:eastAsia="zh-CN"/>
        </w:rPr>
        <w:t>1</w:t>
      </w:r>
      <w:r>
        <w:rPr>
          <w:rFonts w:hint="eastAsia" w:ascii="仿宋_GB2312" w:hAnsi="微软雅黑" w:eastAsia="仿宋_GB2312" w:cs="宋体"/>
          <w:color w:val="333333"/>
          <w:kern w:val="0"/>
          <w:sz w:val="32"/>
          <w:szCs w:val="32"/>
        </w:rPr>
        <w:t>台，其中：一般公务用车</w:t>
      </w:r>
      <w:r>
        <w:rPr>
          <w:rFonts w:hint="eastAsia" w:ascii="仿宋_GB2312" w:hAnsi="微软雅黑" w:eastAsia="仿宋_GB2312" w:cs="宋体"/>
          <w:color w:val="333333"/>
          <w:kern w:val="0"/>
          <w:sz w:val="32"/>
          <w:szCs w:val="32"/>
          <w:lang w:val="en-US" w:eastAsia="zh-CN"/>
        </w:rPr>
        <w:t>1</w:t>
      </w:r>
      <w:r>
        <w:rPr>
          <w:rFonts w:hint="eastAsia" w:ascii="仿宋_GB2312" w:hAnsi="微软雅黑" w:eastAsia="仿宋_GB2312" w:cs="宋体"/>
          <w:color w:val="333333"/>
          <w:kern w:val="0"/>
          <w:sz w:val="32"/>
          <w:szCs w:val="32"/>
        </w:rPr>
        <w:t>台……。其他国有资产情况……</w:t>
      </w:r>
    </w:p>
    <w:p>
      <w:pPr>
        <w:keepLines/>
        <w:widowControl/>
        <w:shd w:val="clear" w:color="auto" w:fill="FFFFFF"/>
        <w:ind w:firstLine="645"/>
        <w:jc w:val="both"/>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both"/>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根据预算绩效管理要求，本溪市溪湖区</w:t>
      </w:r>
      <w:r>
        <w:rPr>
          <w:rFonts w:hint="eastAsia" w:ascii="仿宋_GB2312" w:hAnsi="微软雅黑" w:eastAsia="仿宋_GB2312" w:cs="宋体"/>
          <w:color w:val="333333"/>
          <w:kern w:val="0"/>
          <w:sz w:val="32"/>
          <w:szCs w:val="32"/>
          <w:lang w:eastAsia="zh-CN"/>
        </w:rPr>
        <w:t>司法局</w:t>
      </w:r>
      <w:r>
        <w:rPr>
          <w:rFonts w:hint="eastAsia" w:ascii="仿宋_GB2312" w:hAnsi="微软雅黑" w:eastAsia="仿宋_GB2312" w:cs="宋体"/>
          <w:color w:val="333333"/>
          <w:kern w:val="0"/>
          <w:sz w:val="32"/>
          <w:szCs w:val="32"/>
        </w:rPr>
        <w:t>2021年应编制绩效目标的项目共0个，实际编制绩效目标的项目共0个，涉及资金0万元，编制绩效目标的项目覆盖率（实际编制绩效目标的项目/应编制绩效目标的项目）为100%。</w:t>
      </w:r>
    </w:p>
    <w:p>
      <w:pPr>
        <w:keepLines/>
        <w:jc w:val="both"/>
        <w:rPr>
          <w:rFonts w:hint="eastAsia"/>
        </w:rPr>
      </w:pPr>
    </w:p>
    <w:p>
      <w:pPr>
        <w:keepLines/>
        <w:jc w:val="both"/>
        <w:rPr>
          <w:rFonts w:hint="eastAsia"/>
        </w:rPr>
      </w:pPr>
    </w:p>
    <w:p>
      <w:pPr>
        <w:keepLines/>
        <w:jc w:val="both"/>
        <w:rPr>
          <w:rFonts w:hint="eastAsia"/>
        </w:rPr>
      </w:pPr>
    </w:p>
    <w:p>
      <w:pPr>
        <w:keepLines/>
        <w:jc w:val="both"/>
        <w:rPr>
          <w:rFonts w:hint="eastAsia"/>
        </w:rPr>
      </w:pPr>
    </w:p>
    <w:p>
      <w:pPr>
        <w:keepLines/>
        <w:jc w:val="both"/>
        <w:rPr>
          <w:rFonts w:hint="eastAsia"/>
        </w:rPr>
      </w:pPr>
    </w:p>
    <w:p>
      <w:pPr>
        <w:keepLines/>
        <w:jc w:val="both"/>
        <w:rPr>
          <w:rFonts w:hint="eastAsia"/>
        </w:rPr>
      </w:pPr>
    </w:p>
    <w:p>
      <w:pPr>
        <w:keepLines/>
        <w:jc w:val="both"/>
        <w:rPr>
          <w:rFonts w:hint="eastAsia"/>
        </w:rPr>
      </w:pPr>
    </w:p>
    <w:p>
      <w:pPr>
        <w:keepLines/>
        <w:jc w:val="both"/>
        <w:rPr>
          <w:rFonts w:hint="eastAsia"/>
        </w:rPr>
      </w:pPr>
    </w:p>
    <w:p>
      <w:pPr>
        <w:keepLines/>
        <w:jc w:val="both"/>
        <w:rPr>
          <w:rFonts w:hint="eastAsia"/>
        </w:rPr>
      </w:pPr>
    </w:p>
    <w:p>
      <w:pPr>
        <w:keepLines/>
        <w:jc w:val="both"/>
        <w:rPr>
          <w:rFonts w:hint="eastAsia"/>
        </w:rPr>
      </w:pPr>
    </w:p>
    <w:p>
      <w:pPr>
        <w:keepLines/>
        <w:jc w:val="both"/>
        <w:rPr>
          <w:rFonts w:hint="eastAsia"/>
        </w:rPr>
      </w:pPr>
    </w:p>
    <w:p>
      <w:pPr>
        <w:keepLines/>
        <w:jc w:val="both"/>
        <w:rPr>
          <w:rFonts w:hint="eastAsia"/>
        </w:rPr>
      </w:pPr>
    </w:p>
    <w:tbl>
      <w:tblPr>
        <w:tblStyle w:val="3"/>
        <w:tblW w:w="8519" w:type="dxa"/>
        <w:tblInd w:w="93" w:type="dxa"/>
        <w:tblLayout w:type="autofit"/>
        <w:tblCellMar>
          <w:top w:w="0" w:type="dxa"/>
          <w:left w:w="108" w:type="dxa"/>
          <w:bottom w:w="0" w:type="dxa"/>
          <w:right w:w="108" w:type="dxa"/>
        </w:tblCellMar>
      </w:tblPr>
      <w:tblGrid>
        <w:gridCol w:w="582"/>
        <w:gridCol w:w="709"/>
        <w:gridCol w:w="1417"/>
        <w:gridCol w:w="2977"/>
        <w:gridCol w:w="567"/>
        <w:gridCol w:w="567"/>
        <w:gridCol w:w="567"/>
        <w:gridCol w:w="567"/>
        <w:gridCol w:w="566"/>
      </w:tblGrid>
      <w:tr>
        <w:tblPrEx>
          <w:tblCellMar>
            <w:top w:w="0" w:type="dxa"/>
            <w:left w:w="108" w:type="dxa"/>
            <w:bottom w:w="0" w:type="dxa"/>
            <w:right w:w="108" w:type="dxa"/>
          </w:tblCellMar>
        </w:tblPrEx>
        <w:trPr>
          <w:trHeight w:val="619" w:hRule="atLeast"/>
        </w:trPr>
        <w:tc>
          <w:tcPr>
            <w:tcW w:w="8519" w:type="dxa"/>
            <w:gridSpan w:val="9"/>
            <w:tcBorders>
              <w:top w:val="nil"/>
              <w:left w:val="nil"/>
              <w:bottom w:val="nil"/>
              <w:right w:val="nil"/>
            </w:tcBorders>
            <w:shd w:val="clear" w:color="auto" w:fill="auto"/>
            <w:noWrap/>
            <w:vAlign w:val="center"/>
          </w:tcPr>
          <w:p>
            <w:pPr>
              <w:keepLines/>
              <w:widowControl/>
              <w:jc w:val="both"/>
              <w:rPr>
                <w:rFonts w:ascii="宋体" w:hAnsi="宋体" w:eastAsia="宋体" w:cs="宋体"/>
                <w:b/>
                <w:bCs/>
                <w:kern w:val="0"/>
                <w:sz w:val="36"/>
                <w:szCs w:val="36"/>
              </w:rPr>
            </w:pPr>
            <w:r>
              <w:rPr>
                <w:rFonts w:hint="eastAsia" w:ascii="宋体" w:hAnsi="宋体" w:eastAsia="宋体" w:cs="宋体"/>
                <w:b/>
                <w:bCs/>
                <w:kern w:val="0"/>
                <w:sz w:val="36"/>
                <w:szCs w:val="36"/>
              </w:rPr>
              <w:t>部门整体绩效目标情况表</w:t>
            </w:r>
          </w:p>
        </w:tc>
      </w:tr>
      <w:tr>
        <w:tblPrEx>
          <w:tblCellMar>
            <w:top w:w="0" w:type="dxa"/>
            <w:left w:w="108" w:type="dxa"/>
            <w:bottom w:w="0" w:type="dxa"/>
            <w:right w:w="108" w:type="dxa"/>
          </w:tblCellMar>
        </w:tblPrEx>
        <w:trPr>
          <w:trHeight w:val="300" w:hRule="atLeast"/>
        </w:trPr>
        <w:tc>
          <w:tcPr>
            <w:tcW w:w="582"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绩效目标</w:t>
            </w:r>
          </w:p>
        </w:tc>
        <w:tc>
          <w:tcPr>
            <w:tcW w:w="5103" w:type="dxa"/>
            <w:gridSpan w:val="3"/>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年度绩效指标</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指标属性</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运算符号</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指标值</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度量单位</w:t>
            </w:r>
          </w:p>
        </w:tc>
        <w:tc>
          <w:tcPr>
            <w:tcW w:w="566"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完成时限</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709"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一级指标</w:t>
            </w:r>
          </w:p>
        </w:tc>
        <w:tc>
          <w:tcPr>
            <w:tcW w:w="141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二级指标</w:t>
            </w:r>
          </w:p>
        </w:tc>
        <w:tc>
          <w:tcPr>
            <w:tcW w:w="297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三级指标</w:t>
            </w: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566"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both"/>
              <w:rPr>
                <w:rFonts w:ascii="宋体" w:hAnsi="宋体" w:eastAsia="宋体" w:cs="宋体"/>
                <w:kern w:val="0"/>
                <w:szCs w:val="21"/>
              </w:rPr>
            </w:pPr>
          </w:p>
        </w:tc>
      </w:tr>
      <w:tr>
        <w:tblPrEx>
          <w:tblCellMar>
            <w:top w:w="0" w:type="dxa"/>
            <w:left w:w="108" w:type="dxa"/>
            <w:bottom w:w="0" w:type="dxa"/>
            <w:right w:w="108" w:type="dxa"/>
          </w:tblCellMar>
        </w:tblPrEx>
        <w:trPr>
          <w:trHeight w:val="300" w:hRule="atLeast"/>
        </w:trPr>
        <w:tc>
          <w:tcPr>
            <w:tcW w:w="582"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1.做好各项日常事务性工作。</w:t>
            </w:r>
            <w:r>
              <w:rPr>
                <w:rFonts w:hint="eastAsia" w:ascii="宋体" w:hAnsi="宋体" w:eastAsia="宋体" w:cs="宋体"/>
                <w:kern w:val="0"/>
                <w:szCs w:val="21"/>
              </w:rPr>
              <w:br w:type="textWrapping"/>
            </w:r>
            <w:r>
              <w:rPr>
                <w:rFonts w:hint="eastAsia" w:ascii="宋体" w:hAnsi="宋体" w:eastAsia="宋体" w:cs="宋体"/>
                <w:kern w:val="0"/>
                <w:szCs w:val="21"/>
              </w:rPr>
              <w:t>2.提升服务水平 提高服务对象满意度。</w:t>
            </w:r>
          </w:p>
        </w:tc>
        <w:tc>
          <w:tcPr>
            <w:tcW w:w="709" w:type="dxa"/>
            <w:vMerge w:val="restart"/>
            <w:tcBorders>
              <w:top w:val="single" w:color="auto" w:sz="4" w:space="0"/>
              <w:left w:val="nil"/>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履职效能</w:t>
            </w:r>
          </w:p>
        </w:tc>
        <w:tc>
          <w:tcPr>
            <w:tcW w:w="1417" w:type="dxa"/>
            <w:vMerge w:val="restart"/>
            <w:tcBorders>
              <w:top w:val="single" w:color="auto" w:sz="4" w:space="0"/>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重点工作履行情况</w:t>
            </w:r>
          </w:p>
        </w:tc>
        <w:tc>
          <w:tcPr>
            <w:tcW w:w="297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重点工作办结率</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w:t>
            </w:r>
          </w:p>
        </w:tc>
        <w:tc>
          <w:tcPr>
            <w:tcW w:w="56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1417" w:type="dxa"/>
            <w:vMerge w:val="continue"/>
            <w:tcBorders>
              <w:top w:val="single" w:color="auto" w:sz="4" w:space="0"/>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省、市政府绩效办考核个性指标任务完成情况</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整体工作完成情况</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总体工作完成率</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工作完成及时率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工作质量达标率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基础管理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依法行政能力</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大幅提升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综合管理水平</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大幅提高</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预算执行</w:t>
            </w: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预算执行效率</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预算执行率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预算调整率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5</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结余结转变动率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管理效率</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预算编制管理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预算绩效目标覆盖率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预算监督管理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预决算公开情况</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及时公开</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预算收支管理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预算收入管理规范性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严格执行</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预算支出管理规范性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管理规范</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财务管理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内控制度有效性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制度有效</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资产管理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固定资产利用率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业务管理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政府采购管理违法违规行为发生次数</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次</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运行成本</w:t>
            </w: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成本控制成效</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“三公”经费变动率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在职人员控制率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人均公用经费变动率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社会效应</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政治效益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社会效益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会计从业人员资格覆盖率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经济效益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生态效益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服务对象满意度</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政府直属部门职工总体满意度</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社会公众满意度</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参考考生满意度</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285"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both"/>
              <w:rPr>
                <w:rFonts w:ascii="宋体" w:hAnsi="宋体" w:eastAsia="宋体" w:cs="宋体"/>
                <w:kern w:val="0"/>
                <w:szCs w:val="21"/>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可持续性</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体制机制改革</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按人事部门规定完成</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严格完成</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both"/>
              <w:rPr>
                <w:rFonts w:ascii="宋体" w:hAnsi="宋体" w:eastAsia="宋体" w:cs="宋体"/>
                <w:kern w:val="0"/>
                <w:szCs w:val="21"/>
              </w:rPr>
            </w:pPr>
            <w:r>
              <w:rPr>
                <w:rFonts w:hint="eastAsia" w:ascii="宋体" w:hAnsi="宋体" w:eastAsia="宋体" w:cs="宋体"/>
                <w:kern w:val="0"/>
                <w:szCs w:val="21"/>
              </w:rPr>
              <w:t>2021年末</w:t>
            </w:r>
          </w:p>
        </w:tc>
      </w:tr>
    </w:tbl>
    <w:p>
      <w:pPr>
        <w:jc w:val="both"/>
        <w:rPr>
          <w:rFonts w:hint="eastAsia"/>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p>
    <w:p>
      <w:pPr>
        <w:jc w:val="center"/>
        <w:rPr>
          <w:rFonts w:hint="eastAsia" w:ascii="宋体" w:hAnsi="宋体"/>
          <w:b/>
          <w:sz w:val="36"/>
          <w:szCs w:val="36"/>
        </w:rPr>
      </w:pPr>
      <w:r>
        <w:rPr>
          <w:rFonts w:hint="eastAsia" w:ascii="宋体" w:hAnsi="宋体"/>
          <w:b/>
          <w:sz w:val="36"/>
          <w:szCs w:val="36"/>
        </w:rPr>
        <w:t>第四部分 名词解释</w:t>
      </w:r>
    </w:p>
    <w:p>
      <w:pPr>
        <w:jc w:val="both"/>
        <w:rPr>
          <w:rFonts w:hint="eastAsia" w:ascii="黑体" w:eastAsia="黑体"/>
          <w:sz w:val="36"/>
          <w:szCs w:val="36"/>
        </w:rPr>
      </w:pPr>
    </w:p>
    <w:p>
      <w:pPr>
        <w:ind w:firstLine="643" w:firstLineChars="200"/>
        <w:jc w:val="both"/>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both"/>
        <w:rPr>
          <w:rFonts w:hint="eastAsia"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both"/>
        <w:rPr>
          <w:rFonts w:hint="eastAsia"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jc w:val="both"/>
        <w:rPr>
          <w:rFonts w:hint="eastAsia"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both"/>
        <w:rPr>
          <w:rFonts w:hint="eastAsia"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both"/>
        <w:rPr>
          <w:rFonts w:hint="eastAsia"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both"/>
        <w:rPr>
          <w:rFonts w:hint="eastAsia"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both"/>
        <w:rPr>
          <w:rFonts w:hint="eastAsia"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both"/>
        <w:rPr>
          <w:rFonts w:hint="eastAsia"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both"/>
        <w:rPr>
          <w:rFonts w:hint="eastAsia"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both"/>
        <w:rPr>
          <w:rFonts w:hint="eastAsia"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both"/>
        <w:rPr>
          <w:rFonts w:hint="eastAsia"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both"/>
        <w:rPr>
          <w:rFonts w:hint="eastAsia"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both"/>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467FB6"/>
    <w:rsid w:val="00686DA1"/>
    <w:rsid w:val="007F4D5A"/>
    <w:rsid w:val="008D7A97"/>
    <w:rsid w:val="00B218D5"/>
    <w:rsid w:val="00F27900"/>
    <w:rsid w:val="04AF799F"/>
    <w:rsid w:val="0D9B1F1C"/>
    <w:rsid w:val="13326022"/>
    <w:rsid w:val="194D32CB"/>
    <w:rsid w:val="278356FF"/>
    <w:rsid w:val="27A25482"/>
    <w:rsid w:val="2FB13691"/>
    <w:rsid w:val="3A744ECC"/>
    <w:rsid w:val="3E3E433A"/>
    <w:rsid w:val="494456E8"/>
    <w:rsid w:val="5F9927E2"/>
    <w:rsid w:val="602B35B0"/>
    <w:rsid w:val="636B7FD5"/>
    <w:rsid w:val="6A861464"/>
    <w:rsid w:val="764E2027"/>
    <w:rsid w:val="7B6D2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641</Words>
  <Characters>3660</Characters>
  <Lines>30</Lines>
  <Paragraphs>8</Paragraphs>
  <TotalTime>5</TotalTime>
  <ScaleCrop>false</ScaleCrop>
  <LinksUpToDate>false</LinksUpToDate>
  <CharactersWithSpaces>4293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李小姗姗</cp:lastModifiedBy>
  <dcterms:modified xsi:type="dcterms:W3CDTF">2021-07-01T01:45:15Z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30463D3C7C9C486BA66EC192E7654316</vt:lpwstr>
  </property>
</Properties>
</file>