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卫生健康</w:t>
      </w:r>
      <w:r>
        <w:rPr>
          <w:rFonts w:hint="eastAsia" w:ascii="宋体" w:hAnsi="宋体" w:eastAsia="宋体" w:cs="宋体"/>
          <w:b/>
          <w:bCs/>
          <w:color w:val="333333"/>
          <w:kern w:val="0"/>
          <w:sz w:val="53"/>
          <w:szCs w:val="53"/>
        </w:rPr>
        <w:t>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tabs>
          <w:tab w:val="left" w:pos="1612"/>
        </w:tabs>
        <w:jc w:val="left"/>
        <w:rPr>
          <w:rFonts w:ascii="微软雅黑" w:hAnsi="微软雅黑" w:eastAsia="微软雅黑" w:cs="宋体"/>
          <w:color w:val="333333"/>
          <w:kern w:val="0"/>
          <w:sz w:val="32"/>
          <w:szCs w:val="32"/>
        </w:rPr>
      </w:pPr>
      <w:r>
        <w:rPr>
          <w:rFonts w:hint="eastAsia" w:ascii="微软雅黑" w:hAnsi="微软雅黑" w:eastAsia="微软雅黑" w:cs="宋体"/>
          <w:color w:val="333333"/>
          <w:kern w:val="0"/>
          <w:sz w:val="24"/>
          <w:szCs w:val="24"/>
        </w:rPr>
        <w:tab/>
      </w:r>
      <w:r>
        <w:rPr>
          <w:rFonts w:hint="eastAsia" w:ascii="微软雅黑" w:hAnsi="微软雅黑" w:eastAsia="微软雅黑" w:cs="宋体"/>
          <w:color w:val="333333"/>
          <w:kern w:val="0"/>
          <w:sz w:val="24"/>
          <w:szCs w:val="24"/>
          <w:lang w:val="en-US" w:eastAsia="zh-CN"/>
        </w:rPr>
        <w:t xml:space="preserve">     </w:t>
      </w:r>
      <w:r>
        <w:rPr>
          <w:rFonts w:hint="eastAsia" w:ascii="微软雅黑" w:hAnsi="微软雅黑" w:eastAsia="微软雅黑" w:cs="宋体"/>
          <w:color w:val="333333"/>
          <w:kern w:val="0"/>
          <w:sz w:val="32"/>
          <w:szCs w:val="32"/>
        </w:rPr>
        <w:t>本溪市溪湖区</w:t>
      </w:r>
      <w:r>
        <w:rPr>
          <w:rFonts w:hint="eastAsia" w:ascii="微软雅黑" w:hAnsi="微软雅黑" w:eastAsia="微软雅黑" w:cs="宋体"/>
          <w:color w:val="333333"/>
          <w:kern w:val="0"/>
          <w:sz w:val="32"/>
          <w:szCs w:val="32"/>
          <w:lang w:val="en-US" w:eastAsia="zh-CN"/>
        </w:rPr>
        <w:t>卫生健康</w:t>
      </w:r>
      <w:r>
        <w:rPr>
          <w:rFonts w:hint="eastAsia" w:ascii="微软雅黑" w:hAnsi="微软雅黑" w:eastAsia="微软雅黑" w:cs="宋体"/>
          <w:color w:val="333333"/>
          <w:kern w:val="0"/>
          <w:sz w:val="32"/>
          <w:szCs w:val="32"/>
        </w:rPr>
        <w:t>局</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val="en-US" w:eastAsia="zh-CN"/>
        </w:rPr>
        <w:t>卫生健康局</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val="en-US" w:eastAsia="zh-CN"/>
        </w:rPr>
        <w:t>卫生健康局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val="en-US" w:eastAsia="zh-CN"/>
        </w:rPr>
        <w:t>卫生健康局</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仿宋_GB2312" w:eastAsia="仿宋_GB2312" w:cs="仿宋_GB2312"/>
          <w:color w:val="333333"/>
          <w:kern w:val="0"/>
          <w:sz w:val="32"/>
          <w:szCs w:val="32"/>
        </w:rPr>
        <w:t>文化旅游和广播电视局</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rPr>
          <w:rFonts w:ascii="微软雅黑" w:hAnsi="微软雅黑" w:eastAsia="微软雅黑" w:cs="宋体"/>
          <w:color w:val="333333"/>
          <w:kern w:val="0"/>
          <w:sz w:val="24"/>
          <w:szCs w:val="24"/>
        </w:rPr>
      </w:pPr>
    </w:p>
    <w:p>
      <w:pPr>
        <w:keepLines/>
        <w:widowControl/>
        <w:shd w:val="clear" w:color="auto" w:fill="FFFFFF"/>
        <w:rPr>
          <w:rFonts w:ascii="微软雅黑" w:hAnsi="微软雅黑" w:eastAsia="微软雅黑" w:cs="宋体"/>
          <w:color w:val="333333"/>
          <w:kern w:val="0"/>
          <w:sz w:val="24"/>
          <w:szCs w:val="24"/>
        </w:rPr>
      </w:pPr>
    </w:p>
    <w:p>
      <w:pPr>
        <w:keepLines/>
        <w:widowControl/>
        <w:shd w:val="clear" w:color="auto" w:fill="FFFFFF"/>
        <w:rPr>
          <w:rFonts w:ascii="微软雅黑" w:hAnsi="微软雅黑" w:eastAsia="微软雅黑" w:cs="宋体"/>
          <w:color w:val="333333"/>
          <w:kern w:val="0"/>
          <w:sz w:val="24"/>
          <w:szCs w:val="24"/>
        </w:rPr>
      </w:pPr>
    </w:p>
    <w:p>
      <w:pPr>
        <w:keepLines/>
        <w:widowControl/>
        <w:shd w:val="clear" w:color="auto" w:fill="FFFFFF"/>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val="en-US" w:eastAsia="zh-CN"/>
        </w:rPr>
        <w:t>卫生健康局</w:t>
      </w:r>
      <w:r>
        <w:rPr>
          <w:rFonts w:hint="eastAsia" w:ascii="宋体" w:hAnsi="宋体" w:eastAsia="宋体" w:cs="宋体"/>
          <w:b/>
          <w:bCs/>
          <w:color w:val="333333"/>
          <w:kern w:val="0"/>
          <w:sz w:val="36"/>
          <w:szCs w:val="36"/>
        </w:rPr>
        <w:t>概况</w:t>
      </w:r>
    </w:p>
    <w:p>
      <w:pPr>
        <w:keepLines/>
        <w:widowControl/>
        <w:shd w:val="clear" w:color="auto" w:fill="FFFFFF"/>
        <w:jc w:val="left"/>
        <w:rPr>
          <w:rFonts w:ascii="微软雅黑" w:hAnsi="微软雅黑" w:eastAsia="微软雅黑" w:cs="宋体"/>
          <w:color w:val="333333"/>
          <w:kern w:val="0"/>
          <w:sz w:val="24"/>
          <w:szCs w:val="24"/>
        </w:rPr>
      </w:pPr>
    </w:p>
    <w:p>
      <w:pPr>
        <w:spacing w:line="540" w:lineRule="exact"/>
        <w:ind w:firstLine="640" w:firstLineChars="200"/>
        <w:rPr>
          <w:rFonts w:ascii="Times New Roman" w:hAnsi="Times New Roman" w:eastAsia="仿宋_GB2312"/>
          <w:sz w:val="32"/>
          <w:szCs w:val="32"/>
        </w:rPr>
      </w:pPr>
      <w:r>
        <w:rPr>
          <w:rFonts w:ascii="Times New Roman" w:hAnsi="Times New Roman" w:eastAsia="黑体" w:cs="Times New Roman"/>
          <w:color w:val="000000"/>
          <w:sz w:val="32"/>
          <w:szCs w:val="32"/>
        </w:rPr>
        <w:t>第一条</w:t>
      </w:r>
      <w:r>
        <w:rPr>
          <w:rFonts w:ascii="Times New Roman" w:hAnsi="Times New Roman" w:eastAsia="仿宋_GB2312" w:cs="Times New Roman"/>
          <w:color w:val="000000"/>
          <w:sz w:val="32"/>
          <w:szCs w:val="32"/>
        </w:rPr>
        <w:t xml:space="preserve"> </w:t>
      </w:r>
      <w:r>
        <w:rPr>
          <w:rFonts w:hint="eastAsia" w:ascii="仿宋_GB2312" w:eastAsia="仿宋_GB2312"/>
          <w:sz w:val="32"/>
        </w:rPr>
        <w:t xml:space="preserve"> 根据</w:t>
      </w:r>
      <w:r>
        <w:rPr>
          <w:rFonts w:hint="eastAsia" w:eastAsia="仿宋_GB2312"/>
          <w:sz w:val="32"/>
        </w:rPr>
        <w:t>《中共辽宁省委办公厅 辽宁省人民政府办公厅关于印发本溪市县（市、区）机构改革方案的通知</w:t>
      </w:r>
      <w:r>
        <w:rPr>
          <w:rFonts w:hint="eastAsia" w:ascii="仿宋_GB2312" w:eastAsia="仿宋_GB2312"/>
          <w:sz w:val="32"/>
        </w:rPr>
        <w:t>》（厅秘发〔2018〕251号），</w:t>
      </w:r>
      <w:r>
        <w:rPr>
          <w:rFonts w:hint="eastAsia" w:eastAsia="仿宋_GB2312"/>
          <w:sz w:val="32"/>
        </w:rPr>
        <w:t>制定本规定</w:t>
      </w:r>
      <w:r>
        <w:rPr>
          <w:rFonts w:hint="eastAsia" w:ascii="仿宋_GB2312" w:eastAsia="仿宋_GB2312"/>
          <w:sz w:val="32"/>
        </w:rPr>
        <w:t>。</w:t>
      </w:r>
    </w:p>
    <w:p>
      <w:pPr>
        <w:pStyle w:val="2"/>
        <w:widowControl w:val="0"/>
        <w:spacing w:before="0" w:beforeAutospacing="0" w:after="0" w:afterAutospacing="0" w:line="540" w:lineRule="exact"/>
        <w:jc w:val="both"/>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 xml:space="preserve">    </w:t>
      </w:r>
      <w:r>
        <w:rPr>
          <w:rFonts w:ascii="Times New Roman" w:hAnsi="Times New Roman" w:eastAsia="黑体" w:cs="Times New Roman"/>
          <w:color w:val="000000"/>
          <w:sz w:val="32"/>
          <w:szCs w:val="32"/>
        </w:rPr>
        <w:t xml:space="preserve">第二条  </w:t>
      </w:r>
      <w:r>
        <w:rPr>
          <w:rFonts w:hint="eastAsia" w:ascii="Times New Roman" w:hAnsi="Times New Roman" w:eastAsia="仿宋_GB2312" w:cs="Times New Roman"/>
          <w:color w:val="000000"/>
          <w:sz w:val="32"/>
          <w:szCs w:val="32"/>
        </w:rPr>
        <w:t>溪湖区</w:t>
      </w:r>
      <w:r>
        <w:rPr>
          <w:rFonts w:hint="eastAsia" w:ascii="Times New Roman" w:hAnsi="Times New Roman" w:eastAsia="仿宋_GB2312" w:cs="Times New Roman"/>
          <w:color w:val="000000"/>
          <w:sz w:val="32"/>
          <w:szCs w:val="32"/>
          <w:lang w:val="en-US" w:eastAsia="zh-CN"/>
        </w:rPr>
        <w:t>卫生健康局</w:t>
      </w:r>
      <w:r>
        <w:rPr>
          <w:rFonts w:ascii="Times New Roman" w:hAnsi="Times New Roman" w:eastAsia="仿宋_GB2312" w:cs="Times New Roman"/>
          <w:color w:val="000000"/>
          <w:sz w:val="32"/>
          <w:szCs w:val="32"/>
        </w:rPr>
        <w:t>是</w:t>
      </w:r>
      <w:r>
        <w:rPr>
          <w:rFonts w:hint="eastAsia" w:ascii="Times New Roman" w:hAnsi="Times New Roman" w:eastAsia="仿宋_GB2312" w:cs="Times New Roman"/>
          <w:color w:val="000000"/>
          <w:sz w:val="32"/>
          <w:szCs w:val="32"/>
        </w:rPr>
        <w:t>区</w:t>
      </w:r>
      <w:r>
        <w:rPr>
          <w:rFonts w:ascii="Times New Roman" w:hAnsi="Times New Roman" w:eastAsia="仿宋_GB2312" w:cs="Times New Roman"/>
          <w:color w:val="000000"/>
          <w:sz w:val="32"/>
          <w:szCs w:val="32"/>
        </w:rPr>
        <w:t>政府</w:t>
      </w:r>
      <w:r>
        <w:rPr>
          <w:rFonts w:hint="eastAsia" w:ascii="Times New Roman" w:hAnsi="Times New Roman" w:eastAsia="仿宋_GB2312" w:cs="Times New Roman"/>
          <w:color w:val="000000"/>
          <w:sz w:val="32"/>
          <w:szCs w:val="32"/>
        </w:rPr>
        <w:t>工作</w:t>
      </w:r>
      <w:r>
        <w:rPr>
          <w:rFonts w:ascii="Times New Roman" w:hAnsi="Times New Roman" w:eastAsia="仿宋_GB2312" w:cs="Times New Roman"/>
          <w:color w:val="000000"/>
          <w:sz w:val="32"/>
          <w:szCs w:val="32"/>
        </w:rPr>
        <w:t>部门，为正</w:t>
      </w:r>
      <w:r>
        <w:rPr>
          <w:rFonts w:hint="eastAsia" w:ascii="Times New Roman" w:hAnsi="Times New Roman" w:eastAsia="仿宋_GB2312" w:cs="Times New Roman"/>
          <w:color w:val="000000"/>
          <w:sz w:val="32"/>
          <w:szCs w:val="32"/>
        </w:rPr>
        <w:t>科</w:t>
      </w:r>
      <w:r>
        <w:rPr>
          <w:rFonts w:ascii="Times New Roman" w:hAnsi="Times New Roman" w:eastAsia="仿宋_GB2312" w:cs="Times New Roman"/>
          <w:color w:val="000000"/>
          <w:sz w:val="32"/>
          <w:szCs w:val="32"/>
        </w:rPr>
        <w:t>级。</w:t>
      </w:r>
    </w:p>
    <w:p>
      <w:pPr>
        <w:spacing w:line="540" w:lineRule="exact"/>
        <w:ind w:firstLine="640" w:firstLineChars="200"/>
        <w:rPr>
          <w:rFonts w:hint="eastAsia" w:ascii="黑体" w:eastAsia="黑体"/>
          <w:sz w:val="32"/>
          <w:szCs w:val="32"/>
        </w:rPr>
      </w:pPr>
      <w:r>
        <w:rPr>
          <w:rFonts w:hint="eastAsia" w:ascii="Times New Roman" w:hAnsi="Times New Roman" w:eastAsia="黑体"/>
          <w:color w:val="000000"/>
          <w:kern w:val="0"/>
          <w:sz w:val="32"/>
          <w:szCs w:val="32"/>
        </w:rPr>
        <w:t>第三条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溪湖区卫生健康局贯彻落实党中央关于卫生健康工作的方针政策和决策部署，在履行职责过程中坚持和加强党对卫生健康工作的集中统一领导</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主要职责是：</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贯彻落实国家、省、市关于国民健康的政策、卫生健康和中医药事业发展的法律法规、政策、规划。统筹规划卫生健康资源配置，指导区域卫生健康规划的编制和实施。组织实施推进卫生健康基本公共服务均等化、普惠化、便捷化和公共资源向基层延伸等工作。</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推进深化医药卫生体制改革，研究提出深化医药卫生体制改革重大方针、政策、措施的建议。组织深化公立医院综合改革，推进管办分离，健全现代医院管理制度，组织实施推动卫生健康公共服务提供主体多元化、提供方式多样化的政策措施，提出医疗服务和药品价格政策的建议。</w:t>
      </w:r>
    </w:p>
    <w:p>
      <w:pPr>
        <w:adjustRightInd w:val="0"/>
        <w:snapToGrid w:val="0"/>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组织落实疾病预防控制规划、免疫规划以及严重危害人民健康公共卫生问题的干预措施。负责卫生应急工作，组织指导突发公共卫生事件的预防控制、应急处置和各类突发公共事件的医疗卫生救援。组织开展职业病防治法律法规和防治知识的宣传教育。负责卫生系统安全管理工作，监督指导医疗机构做好医用危险品、高风险药品、放射设备、医疗废弃物、压力容器、特种设备等安全管理工作。</w:t>
      </w:r>
    </w:p>
    <w:p>
      <w:pPr>
        <w:adjustRightInd w:val="0"/>
        <w:snapToGrid w:val="0"/>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（四）组织落实应对人口老龄化政策措施，负责推进老年健康服务体系建设和医养结合工作。</w:t>
      </w:r>
    </w:p>
    <w:p>
      <w:pPr>
        <w:adjustRightInd w:val="0"/>
        <w:snapToGrid w:val="0"/>
        <w:spacing w:line="62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（五）组织实施国家基本药物制度，组织落实药物使用等政策措施，开展药品使用监测、临床综合评价和短缺药品预警。组织开展食品安全风险监测评估。</w:t>
      </w:r>
    </w:p>
    <w:p>
      <w:pPr>
        <w:adjustRightInd w:val="0"/>
        <w:snapToGrid w:val="0"/>
        <w:spacing w:line="620" w:lineRule="exac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（六）负责职责范围内的职业卫生、放射卫生、环境卫生、学校卫生、公共场所卫生、饮用水卫生等公共卫生的监督管理，负责传染病防治监督，健全卫生健康综合监督体系。</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（七）监督实施医疗机构、医疗卫生服务行业管理办法，组织实施医疗服务规范、标准和卫生健康专业技术人员执业规则、服务规范。</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（八）负责计划生育管理和服务工作，开展人口监测，研究提出人口与家庭发展相关政策建议，组织实施计划生育相关政策。</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（九）指导基层医疗卫生、妇幼健康服务体系队伍建设。推进卫生健康科技创新发展。</w:t>
      </w:r>
    </w:p>
    <w:p>
      <w:pPr>
        <w:spacing w:line="62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（十）</w:t>
      </w:r>
      <w:r>
        <w:rPr>
          <w:rFonts w:hint="eastAsia" w:ascii="Times New Roman" w:hAnsi="Times New Roman" w:eastAsia="仿宋_GB2312"/>
          <w:kern w:val="0"/>
          <w:sz w:val="32"/>
          <w:szCs w:val="32"/>
        </w:rPr>
        <w:t>组织拟订中医药发展规划和技术规范，负责中医类医疗机构和中医医疗、预防保健、康复、护理及临床用药等监督管理，组织实施中医药专业技术人员准入、资格标准，指导中医药教育、人才培养和科学研究，组织实施中医药健康服务相关工作，促进中医药文化传承发展，开展中医药防病治病知识宣传普及，推动中医药海外发展，参与拟订中药产业发展规划、产业政策，开展中药资源普查，促进中药资源的保护、开发和合理利用。</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（十一）负责区确定的保健对象的医疗保健工作、负责区重要会议与重大活动的医疗卫生保障工作。</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（十二）完成区委、区政府交办的其他任务。</w:t>
      </w:r>
    </w:p>
    <w:p>
      <w:pPr>
        <w:spacing w:line="62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（十三）</w:t>
      </w:r>
      <w:r>
        <w:rPr>
          <w:rFonts w:ascii="Times New Roman" w:hAnsi="Times New Roman" w:eastAsia="仿宋_GB2312"/>
          <w:color w:val="000000"/>
          <w:sz w:val="32"/>
          <w:szCs w:val="32"/>
        </w:rPr>
        <w:t>职能转变。</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卫生健康</w:t>
      </w:r>
      <w:r>
        <w:rPr>
          <w:rFonts w:hint="eastAsia" w:ascii="Times New Roman" w:hAnsi="Times New Roman" w:eastAsia="仿宋_GB2312"/>
          <w:color w:val="000000"/>
          <w:sz w:val="32"/>
          <w:szCs w:val="32"/>
        </w:rPr>
        <w:t>局</w:t>
      </w:r>
      <w:r>
        <w:rPr>
          <w:rFonts w:ascii="Times New Roman" w:hAnsi="Times New Roman" w:eastAsia="仿宋_GB2312"/>
          <w:color w:val="000000"/>
          <w:sz w:val="32"/>
          <w:szCs w:val="32"/>
        </w:rPr>
        <w:t>应当牢固树立大卫生、大健康理念，推动实施健康中国战略，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四是协调推进深化医药卫生体制改革。加大公立医院改革力度，推进管办分离，推动卫生健康公共服务提供主体多元化、提供方式多样化。</w:t>
      </w:r>
    </w:p>
    <w:p>
      <w:pPr>
        <w:ind w:firstLine="640" w:firstLineChars="200"/>
        <w:jc w:val="left"/>
        <w:rPr>
          <w:rFonts w:ascii="黑体" w:eastAsia="黑体"/>
          <w:sz w:val="32"/>
          <w:szCs w:val="32"/>
        </w:rPr>
      </w:pPr>
      <w:r>
        <w:rPr>
          <w:rFonts w:hint="eastAsia" w:ascii="黑体" w:eastAsia="黑体"/>
          <w:sz w:val="32"/>
          <w:szCs w:val="32"/>
        </w:rPr>
        <w:t>二、机构设置</w:t>
      </w:r>
    </w:p>
    <w:p>
      <w:pPr>
        <w:ind w:firstLine="640" w:firstLineChars="200"/>
        <w:jc w:val="left"/>
        <w:rPr>
          <w:rFonts w:ascii="仿宋_GB2312" w:eastAsia="仿宋_GB2312"/>
          <w:sz w:val="32"/>
          <w:szCs w:val="32"/>
        </w:rPr>
      </w:pPr>
      <w:r>
        <w:rPr>
          <w:rFonts w:hint="eastAsia" w:ascii="仿宋_GB2312" w:eastAsia="仿宋_GB2312"/>
          <w:sz w:val="32"/>
          <w:szCs w:val="32"/>
        </w:rPr>
        <w:t>纳入本溪市溪湖区</w:t>
      </w:r>
      <w:r>
        <w:rPr>
          <w:rFonts w:hint="eastAsia" w:ascii="仿宋_GB2312" w:eastAsia="仿宋_GB2312"/>
          <w:sz w:val="32"/>
          <w:szCs w:val="32"/>
          <w:lang w:val="en-US" w:eastAsia="zh-CN"/>
        </w:rPr>
        <w:t>卫生健康局</w:t>
      </w:r>
      <w:r>
        <w:rPr>
          <w:rFonts w:hint="eastAsia" w:ascii="仿宋_GB2312" w:eastAsia="仿宋_GB2312"/>
          <w:sz w:val="32"/>
          <w:szCs w:val="32"/>
        </w:rPr>
        <w:t>2020年部门预算编制范围的二级预算单位包括：</w:t>
      </w:r>
    </w:p>
    <w:p>
      <w:pPr>
        <w:jc w:val="left"/>
        <w:rPr>
          <w:rFonts w:hint="eastAsia" w:ascii="仿宋_GB2312" w:eastAsia="仿宋_GB2312"/>
          <w:sz w:val="32"/>
          <w:szCs w:val="32"/>
          <w:lang w:val="en-US" w:eastAsia="zh-CN"/>
        </w:rPr>
      </w:pPr>
      <w:r>
        <w:rPr>
          <w:rFonts w:hint="eastAsia" w:ascii="仿宋_GB2312" w:eastAsia="仿宋_GB2312"/>
          <w:sz w:val="32"/>
          <w:szCs w:val="32"/>
        </w:rPr>
        <w:t xml:space="preserve">    （一）本溪市溪湖</w:t>
      </w:r>
      <w:r>
        <w:rPr>
          <w:rFonts w:hint="eastAsia" w:ascii="仿宋_GB2312" w:eastAsia="仿宋_GB2312"/>
          <w:sz w:val="32"/>
          <w:szCs w:val="32"/>
          <w:lang w:val="en-US" w:eastAsia="zh-CN"/>
        </w:rPr>
        <w:t>卫生健康局</w:t>
      </w: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keepLines/>
        <w:widowControl/>
        <w:shd w:val="clear" w:color="auto" w:fill="FFFFFF"/>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第三部分溪湖区</w:t>
      </w:r>
      <w:r>
        <w:rPr>
          <w:rFonts w:hint="eastAsia" w:ascii="宋体" w:hAnsi="宋体" w:eastAsia="宋体" w:cs="宋体"/>
          <w:b/>
          <w:bCs/>
          <w:color w:val="333333"/>
          <w:kern w:val="0"/>
          <w:sz w:val="36"/>
          <w:szCs w:val="36"/>
          <w:lang w:val="en-US" w:eastAsia="zh-CN"/>
        </w:rPr>
        <w:t>卫健局</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val="en-US" w:eastAsia="zh-CN"/>
        </w:rPr>
        <w:t>卫健</w:t>
      </w:r>
      <w:r>
        <w:rPr>
          <w:rFonts w:hint="eastAsia" w:ascii="仿宋_GB2312" w:hAnsi="微软雅黑" w:eastAsia="仿宋_GB2312" w:cs="宋体"/>
          <w:color w:val="333333"/>
          <w:kern w:val="0"/>
          <w:sz w:val="32"/>
          <w:szCs w:val="32"/>
        </w:rPr>
        <w:t>局所有收入和支出均纳入部门预算管理。其中：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2483.58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2483.58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color w:val="333333"/>
          <w:kern w:val="0"/>
          <w:sz w:val="32"/>
          <w:szCs w:val="32"/>
          <w:lang w:val="en-US" w:eastAsia="zh-CN"/>
        </w:rPr>
        <w:t>2483.58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81.31</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2402.27</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2021年预算收支比2020年增加</w:t>
      </w:r>
      <w:r>
        <w:rPr>
          <w:rFonts w:hint="eastAsia" w:ascii="仿宋_GB2312" w:hAnsi="微软雅黑" w:eastAsia="仿宋_GB2312" w:cs="宋体"/>
          <w:color w:val="333333"/>
          <w:kern w:val="0"/>
          <w:sz w:val="32"/>
          <w:szCs w:val="32"/>
          <w:lang w:val="en-US" w:eastAsia="zh-CN"/>
        </w:rPr>
        <w:t>171.15</w:t>
      </w:r>
      <w:r>
        <w:rPr>
          <w:rFonts w:hint="eastAsia" w:ascii="仿宋_GB2312" w:hAnsi="微软雅黑" w:eastAsia="仿宋_GB2312" w:cs="宋体"/>
          <w:color w:val="333333"/>
          <w:kern w:val="0"/>
          <w:sz w:val="32"/>
          <w:szCs w:val="32"/>
        </w:rPr>
        <w:t>万元，增多的主要原因</w:t>
      </w:r>
      <w:r>
        <w:rPr>
          <w:rFonts w:hint="eastAsia" w:ascii="仿宋_GB2312" w:hAnsi="微软雅黑" w:eastAsia="仿宋_GB2312" w:cs="宋体"/>
          <w:color w:val="333333"/>
          <w:kern w:val="0"/>
          <w:sz w:val="32"/>
          <w:szCs w:val="32"/>
          <w:lang w:val="en-US" w:eastAsia="zh-CN"/>
        </w:rPr>
        <w:t>是</w:t>
      </w:r>
      <w:bookmarkStart w:id="1" w:name="_GoBack"/>
      <w:bookmarkEnd w:id="1"/>
      <w:r>
        <w:rPr>
          <w:rFonts w:hint="eastAsia" w:ascii="仿宋_GB2312" w:hAnsi="宋体" w:eastAsia="仿宋_GB2312"/>
          <w:sz w:val="32"/>
          <w:szCs w:val="32"/>
          <w:lang w:val="en-US" w:eastAsia="zh-CN"/>
        </w:rPr>
        <w:t>卫健项目资金随着工作的需要每年递增。</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val="en-US" w:eastAsia="zh-CN"/>
        </w:rPr>
        <w:t>卫健局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69.41</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val="en-US" w:eastAsia="zh-CN"/>
        </w:rPr>
        <w:t>减少18.25</w:t>
      </w:r>
      <w:r>
        <w:rPr>
          <w:rFonts w:hint="eastAsia" w:ascii="仿宋_GB2312" w:hAnsi="微软雅黑" w:eastAsia="仿宋_GB2312" w:cs="宋体"/>
          <w:color w:val="333333"/>
          <w:kern w:val="0"/>
          <w:sz w:val="32"/>
          <w:szCs w:val="32"/>
        </w:rPr>
        <w:t>万元，主要原因原因为</w:t>
      </w:r>
      <w:r>
        <w:rPr>
          <w:rFonts w:hint="eastAsia" w:ascii="仿宋_GB2312" w:hAnsi="宋体" w:eastAsia="仿宋_GB2312"/>
          <w:sz w:val="32"/>
          <w:szCs w:val="32"/>
        </w:rPr>
        <w:t>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kern w:val="0"/>
          <w:sz w:val="32"/>
          <w:szCs w:val="32"/>
        </w:rPr>
        <w:t>2021年本溪市溪湖区</w:t>
      </w:r>
      <w:r>
        <w:rPr>
          <w:rFonts w:hint="eastAsia" w:ascii="仿宋_GB2312" w:hAnsi="微软雅黑" w:eastAsia="仿宋_GB2312" w:cs="宋体"/>
          <w:kern w:val="0"/>
          <w:sz w:val="32"/>
          <w:szCs w:val="32"/>
          <w:lang w:val="en-US" w:eastAsia="zh-CN"/>
        </w:rPr>
        <w:t>卫健</w:t>
      </w:r>
      <w:r>
        <w:rPr>
          <w:rFonts w:hint="eastAsia" w:ascii="仿宋_GB2312" w:hAnsi="微软雅黑" w:eastAsia="仿宋_GB2312" w:cs="宋体"/>
          <w:kern w:val="0"/>
          <w:sz w:val="32"/>
          <w:szCs w:val="32"/>
        </w:rPr>
        <w:t>局安排政府采购预算0万元，</w:t>
      </w:r>
      <w:r>
        <w:rPr>
          <w:rFonts w:hint="eastAsia" w:ascii="仿宋_GB2312" w:hAnsi="微软雅黑" w:eastAsia="仿宋_GB2312" w:cs="宋体"/>
          <w:color w:val="333333"/>
          <w:kern w:val="0"/>
          <w:sz w:val="32"/>
          <w:szCs w:val="32"/>
        </w:rPr>
        <w:t>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val="en-US" w:eastAsia="zh-CN"/>
        </w:rPr>
        <w:t>卫健局</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2.18</w:t>
      </w:r>
      <w:r>
        <w:rPr>
          <w:rFonts w:hint="eastAsia" w:ascii="仿宋_GB2312" w:hAnsi="微软雅黑" w:eastAsia="仿宋_GB2312" w:cs="宋体"/>
          <w:color w:val="333333"/>
          <w:kern w:val="0"/>
          <w:sz w:val="32"/>
          <w:szCs w:val="32"/>
        </w:rPr>
        <w:t>万元，比2020年增减0.0万元，</w:t>
      </w:r>
      <w:r>
        <w:rPr>
          <w:rFonts w:hint="eastAsia" w:ascii="仿宋_GB2312" w:hAnsi="微软雅黑" w:eastAsia="仿宋_GB2312" w:cs="宋体"/>
          <w:kern w:val="0"/>
          <w:sz w:val="32"/>
          <w:szCs w:val="32"/>
        </w:rPr>
        <w:t>升降</w:t>
      </w:r>
      <w:r>
        <w:rPr>
          <w:rFonts w:hint="eastAsia" w:ascii="仿宋_GB2312" w:hAnsi="微软雅黑" w:eastAsia="仿宋_GB2312" w:cs="宋体"/>
          <w:kern w:val="0"/>
          <w:sz w:val="32"/>
          <w:szCs w:val="32"/>
          <w:lang w:val="en-US" w:eastAsia="zh-CN"/>
        </w:rPr>
        <w:t>0</w:t>
      </w:r>
      <w:r>
        <w:rPr>
          <w:rFonts w:hint="eastAsia" w:ascii="仿宋_GB2312" w:hAnsi="微软雅黑" w:eastAsia="仿宋_GB2312" w:cs="宋体"/>
          <w:kern w:val="0"/>
          <w:sz w:val="32"/>
          <w:szCs w:val="32"/>
        </w:rPr>
        <w:t>%其中：</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1.因公出国（境）费0万元，比2020年增加</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val="en-US" w:eastAsia="zh-CN"/>
        </w:rPr>
        <w:t>无因公出国</w:t>
      </w:r>
    </w:p>
    <w:p>
      <w:pPr>
        <w:ind w:firstLine="645"/>
        <w:rPr>
          <w:rFonts w:ascii="仿宋_GB2312" w:hAnsi="宋体" w:eastAsia="仿宋_GB2312"/>
          <w:sz w:val="32"/>
          <w:szCs w:val="32"/>
        </w:rPr>
      </w:pPr>
      <w:r>
        <w:rPr>
          <w:rFonts w:hint="eastAsia" w:ascii="仿宋_GB2312" w:hAnsi="微软雅黑" w:eastAsia="仿宋_GB2312" w:cs="宋体"/>
          <w:color w:val="333333"/>
          <w:kern w:val="0"/>
          <w:sz w:val="32"/>
          <w:szCs w:val="32"/>
        </w:rPr>
        <w:t>2.公务接待费0.0</w:t>
      </w:r>
      <w:r>
        <w:rPr>
          <w:rFonts w:hint="eastAsia" w:ascii="仿宋_GB2312" w:hAnsi="微软雅黑" w:eastAsia="仿宋_GB2312" w:cs="宋体"/>
          <w:color w:val="333333"/>
          <w:kern w:val="0"/>
          <w:sz w:val="32"/>
          <w:szCs w:val="32"/>
          <w:lang w:val="en-US" w:eastAsia="zh-CN"/>
        </w:rPr>
        <w:t>8</w:t>
      </w:r>
      <w:r>
        <w:rPr>
          <w:rFonts w:hint="eastAsia" w:ascii="仿宋_GB2312" w:hAnsi="微软雅黑" w:eastAsia="仿宋_GB2312" w:cs="宋体"/>
          <w:color w:val="333333"/>
          <w:kern w:val="0"/>
          <w:sz w:val="32"/>
          <w:szCs w:val="32"/>
        </w:rPr>
        <w:t>万元，比2020年增减0.0万元</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万元，比2020年增减0万元，主要原因是</w:t>
      </w:r>
      <w:r>
        <w:rPr>
          <w:rFonts w:hint="eastAsia" w:ascii="仿宋_GB2312" w:hAnsi="微软雅黑" w:eastAsia="仿宋_GB2312" w:cs="宋体"/>
          <w:color w:val="333333"/>
          <w:kern w:val="0"/>
          <w:sz w:val="32"/>
          <w:szCs w:val="32"/>
          <w:lang w:val="en-US" w:eastAsia="zh-CN"/>
        </w:rPr>
        <w:t>车辆财政定额预算</w:t>
      </w:r>
      <w:r>
        <w:rPr>
          <w:rFonts w:hint="eastAsia" w:ascii="仿宋_GB2312" w:hAnsi="微软雅黑" w:eastAsia="仿宋_GB2312" w:cs="宋体"/>
          <w:color w:val="333333"/>
          <w:kern w:val="0"/>
          <w:sz w:val="32"/>
          <w:szCs w:val="32"/>
        </w:rPr>
        <w:t>。</w:t>
      </w:r>
    </w:p>
    <w:p>
      <w:pPr>
        <w:keepLines/>
        <w:widowControl/>
        <w:shd w:val="clear" w:color="auto" w:fill="FFFFFF"/>
        <w:jc w:val="center"/>
        <w:rPr>
          <w:rFonts w:ascii="仿宋_GB2312" w:hAnsi="微软雅黑" w:eastAsia="仿宋_GB2312" w:cs="宋体"/>
          <w:b/>
          <w:bCs/>
          <w:color w:val="333333"/>
          <w:kern w:val="0"/>
          <w:sz w:val="32"/>
          <w:szCs w:val="32"/>
        </w:rPr>
      </w:pPr>
    </w:p>
    <w:p>
      <w:pPr>
        <w:keepLines/>
        <w:widowControl/>
        <w:shd w:val="clear" w:color="auto" w:fill="FFFFFF"/>
        <w:jc w:val="center"/>
        <w:rPr>
          <w:rFonts w:ascii="仿宋_GB2312" w:hAnsi="微软雅黑" w:eastAsia="仿宋_GB2312" w:cs="宋体"/>
          <w:b/>
          <w:bCs/>
          <w:color w:val="333333"/>
          <w:kern w:val="0"/>
          <w:sz w:val="32"/>
          <w:szCs w:val="32"/>
        </w:rPr>
      </w:pPr>
    </w:p>
    <w:p>
      <w:pPr>
        <w:keepLines/>
        <w:widowControl/>
        <w:shd w:val="clear" w:color="auto" w:fill="FFFFFF"/>
        <w:jc w:val="center"/>
        <w:rPr>
          <w:rFonts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val="en-US" w:eastAsia="zh-CN"/>
        </w:rPr>
        <w:t>卫健局</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fixed"/>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2.18</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2.18</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0.0</w:t>
            </w:r>
            <w:r>
              <w:rPr>
                <w:rFonts w:hint="eastAsia" w:ascii="宋体" w:hAnsi="宋体" w:eastAsia="宋体" w:cs="宋体"/>
                <w:kern w:val="0"/>
                <w:sz w:val="24"/>
                <w:szCs w:val="24"/>
                <w:lang w:val="en-US" w:eastAsia="zh-CN"/>
              </w:rPr>
              <w:t>8</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0.0</w:t>
            </w:r>
            <w:r>
              <w:rPr>
                <w:rFonts w:hint="eastAsia" w:ascii="宋体" w:hAnsi="宋体" w:eastAsia="宋体" w:cs="宋体"/>
                <w:kern w:val="0"/>
                <w:sz w:val="24"/>
                <w:szCs w:val="24"/>
                <w:lang w:val="en-US" w:eastAsia="zh-CN"/>
              </w:rPr>
              <w:t>8</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val="en-US" w:eastAsia="zh-CN"/>
        </w:rPr>
        <w:t>卫健</w:t>
      </w:r>
      <w:r>
        <w:rPr>
          <w:rFonts w:hint="eastAsia" w:ascii="仿宋_GB2312" w:hAnsi="微软雅黑" w:eastAsia="仿宋_GB2312" w:cs="宋体"/>
          <w:color w:val="333333"/>
          <w:kern w:val="0"/>
          <w:sz w:val="32"/>
          <w:szCs w:val="32"/>
        </w:rPr>
        <w:t>局共有车辆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val="en-US" w:eastAsia="zh-CN"/>
        </w:rPr>
        <w:t>卫健局</w:t>
      </w:r>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12</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2402.27</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widowControl/>
        <w:shd w:val="clear" w:color="auto" w:fill="FFFFFF"/>
        <w:ind w:firstLine="645"/>
        <w:jc w:val="left"/>
        <w:rPr>
          <w:rFonts w:ascii="仿宋_GB2312" w:hAnsi="微软雅黑" w:eastAsia="仿宋_GB2312" w:cs="宋体"/>
          <w:color w:val="333333"/>
          <w:kern w:val="0"/>
          <w:sz w:val="32"/>
          <w:szCs w:val="32"/>
        </w:rPr>
      </w:pPr>
    </w:p>
    <w:p>
      <w:pPr>
        <w:keepLines/>
        <w:widowControl/>
        <w:shd w:val="clear" w:color="auto" w:fill="FFFFFF"/>
        <w:ind w:firstLine="645"/>
        <w:jc w:val="left"/>
        <w:rPr>
          <w:rFonts w:ascii="仿宋_GB2312" w:hAnsi="微软雅黑" w:eastAsia="仿宋_GB2312" w:cs="宋体"/>
          <w:color w:val="333333"/>
          <w:kern w:val="0"/>
          <w:sz w:val="32"/>
          <w:szCs w:val="32"/>
        </w:rPr>
      </w:pPr>
    </w:p>
    <w:p>
      <w:pPr>
        <w:keepLines/>
        <w:widowControl/>
        <w:shd w:val="clear" w:color="auto" w:fill="FFFFFF"/>
        <w:ind w:firstLine="645"/>
        <w:jc w:val="left"/>
      </w:pPr>
    </w:p>
    <w:p>
      <w:pPr>
        <w:keepLines/>
      </w:pPr>
    </w:p>
    <w:tbl>
      <w:tblPr>
        <w:tblStyle w:val="3"/>
        <w:tblW w:w="8519" w:type="dxa"/>
        <w:tblInd w:w="93" w:type="dxa"/>
        <w:tblLayout w:type="fixed"/>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vAlign w:val="center"/>
          </w:tcPr>
          <w:p>
            <w:pPr>
              <w:keepLines/>
              <w:widowControl/>
              <w:jc w:val="center"/>
              <w:rPr>
                <w:rFonts w:hint="eastAsia" w:ascii="宋体" w:hAnsi="宋体" w:eastAsia="宋体" w:cs="宋体"/>
                <w:b/>
                <w:bCs/>
                <w:kern w:val="0"/>
                <w:sz w:val="36"/>
                <w:szCs w:val="36"/>
              </w:rPr>
            </w:pPr>
          </w:p>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220F41"/>
    <w:rsid w:val="00467FB6"/>
    <w:rsid w:val="00686DA1"/>
    <w:rsid w:val="007F4D5A"/>
    <w:rsid w:val="008D7A97"/>
    <w:rsid w:val="00B218D5"/>
    <w:rsid w:val="00B50B69"/>
    <w:rsid w:val="00EA50DF"/>
    <w:rsid w:val="00F27900"/>
    <w:rsid w:val="1D2B1DDA"/>
    <w:rsid w:val="201A7E9D"/>
    <w:rsid w:val="29BD4762"/>
    <w:rsid w:val="2FBD5710"/>
    <w:rsid w:val="398571F2"/>
    <w:rsid w:val="3C0226A5"/>
    <w:rsid w:val="45E66355"/>
    <w:rsid w:val="52DA25D7"/>
    <w:rsid w:val="538C3AF2"/>
    <w:rsid w:val="58142B77"/>
    <w:rsid w:val="58240988"/>
    <w:rsid w:val="5AA85C47"/>
    <w:rsid w:val="65905A33"/>
    <w:rsid w:val="6A7F52A8"/>
    <w:rsid w:val="6CD70C6E"/>
    <w:rsid w:val="747377E6"/>
    <w:rsid w:val="7FDA0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customStyle="1" w:styleId="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15</Pages>
  <Words>893</Words>
  <Characters>5094</Characters>
  <Lines>42</Lines>
  <Paragraphs>11</Paragraphs>
  <TotalTime>2</TotalTime>
  <ScaleCrop>false</ScaleCrop>
  <LinksUpToDate>false</LinksUpToDate>
  <CharactersWithSpaces>5976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2021-07-01T01:11:01Z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96F7029734904E2FA53B8529B183878A</vt:lpwstr>
  </property>
</Properties>
</file>