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both"/>
        <w:rPr>
          <w:rFonts w:hint="eastAsia" w:ascii="宋体" w:hAnsi="宋体" w:eastAsia="宋体" w:cs="宋体"/>
          <w:b/>
          <w:bCs/>
          <w:color w:val="333333"/>
          <w:kern w:val="0"/>
          <w:sz w:val="53"/>
          <w:szCs w:val="53"/>
        </w:rPr>
      </w:pPr>
    </w:p>
    <w:p>
      <w:pPr>
        <w:widowControl/>
        <w:shd w:val="clear" w:color="auto" w:fill="FFFFFF"/>
        <w:ind w:left="4257" w:hanging="4257" w:hangingChars="800"/>
        <w:jc w:val="both"/>
        <w:rPr>
          <w:rFonts w:hint="eastAsia" w:ascii="宋体" w:hAnsi="宋体" w:eastAsia="宋体" w:cs="宋体"/>
          <w:b/>
          <w:bCs/>
          <w:color w:val="333333"/>
          <w:kern w:val="0"/>
          <w:sz w:val="53"/>
          <w:szCs w:val="53"/>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eastAsia="zh-CN"/>
        </w:rPr>
        <w:t>中医院</w:t>
      </w:r>
      <w:r>
        <w:rPr>
          <w:rFonts w:hint="eastAsia" w:ascii="宋体" w:hAnsi="宋体" w:eastAsia="宋体" w:cs="宋体"/>
          <w:b/>
          <w:bCs/>
          <w:color w:val="333333"/>
          <w:kern w:val="0"/>
          <w:sz w:val="53"/>
          <w:szCs w:val="53"/>
        </w:rPr>
        <w:t>2021年部门</w:t>
      </w:r>
    </w:p>
    <w:p>
      <w:pPr>
        <w:widowControl/>
        <w:shd w:val="clear" w:color="auto" w:fill="FFFFFF"/>
        <w:ind w:firstLine="3724" w:firstLineChars="700"/>
        <w:jc w:val="both"/>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预算</w:t>
      </w:r>
    </w:p>
    <w:p>
      <w:pPr>
        <w:widowControl/>
        <w:shd w:val="clear" w:color="auto" w:fill="FFFFFF"/>
        <w:jc w:val="center"/>
        <w:rPr>
          <w:rFonts w:ascii="微软雅黑" w:hAnsi="微软雅黑" w:eastAsia="微软雅黑" w:cs="宋体"/>
          <w:color w:val="333333"/>
          <w:kern w:val="0"/>
          <w:sz w:val="24"/>
          <w:szCs w:val="24"/>
        </w:rPr>
      </w:pPr>
      <w:bookmarkStart w:id="1" w:name="_GoBack"/>
      <w:bookmarkEnd w:id="1"/>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hint="eastAsia" w:ascii="微软雅黑" w:hAnsi="微软雅黑" w:eastAsia="宋体" w:cs="宋体"/>
          <w:color w:val="333333"/>
          <w:kern w:val="0"/>
          <w:sz w:val="24"/>
          <w:szCs w:val="24"/>
          <w:lang w:val="en-US" w:eastAsia="zh-CN"/>
        </w:rPr>
      </w:pPr>
      <w:r>
        <w:rPr>
          <w:rFonts w:hint="eastAsia" w:ascii="宋体" w:hAnsi="宋体" w:eastAsia="宋体" w:cs="宋体"/>
          <w:b/>
          <w:bCs/>
          <w:color w:val="333333"/>
          <w:kern w:val="0"/>
          <w:sz w:val="44"/>
          <w:szCs w:val="44"/>
        </w:rPr>
        <w:t>本溪市溪湖区</w:t>
      </w:r>
      <w:r>
        <w:rPr>
          <w:rFonts w:hint="eastAsia" w:ascii="宋体" w:hAnsi="宋体" w:eastAsia="宋体" w:cs="宋体"/>
          <w:b/>
          <w:bCs/>
          <w:color w:val="333333"/>
          <w:kern w:val="0"/>
          <w:sz w:val="44"/>
          <w:szCs w:val="44"/>
          <w:lang w:eastAsia="zh-CN"/>
        </w:rPr>
        <w:t>中医院</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w:t>
      </w:r>
      <w:r>
        <w:rPr>
          <w:rFonts w:hint="eastAsia" w:ascii="黑体" w:hAnsi="黑体" w:eastAsia="黑体" w:cs="宋体"/>
          <w:color w:val="333333"/>
          <w:kern w:val="0"/>
          <w:sz w:val="32"/>
          <w:szCs w:val="32"/>
          <w:lang w:eastAsia="zh-CN"/>
        </w:rPr>
        <w:t>中医院</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w:t>
      </w:r>
      <w:r>
        <w:rPr>
          <w:rFonts w:hint="eastAsia" w:ascii="黑体" w:hAnsi="黑体" w:eastAsia="黑体" w:cs="宋体"/>
          <w:color w:val="333333"/>
          <w:kern w:val="0"/>
          <w:sz w:val="32"/>
          <w:szCs w:val="32"/>
          <w:lang w:eastAsia="zh-CN"/>
        </w:rPr>
        <w:t>中医院</w:t>
      </w:r>
      <w:r>
        <w:rPr>
          <w:rFonts w:hint="eastAsia" w:ascii="黑体" w:hAnsi="黑体" w:eastAsia="黑体" w:cs="宋体"/>
          <w:color w:val="333333"/>
          <w:kern w:val="0"/>
          <w:sz w:val="32"/>
          <w:szCs w:val="32"/>
        </w:rPr>
        <w:t>2021年部门预算情况说明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2021年本溪市溪湖区部门预算批复公开表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hint="eastAsia" w:ascii="宋体" w:hAnsi="宋体" w:eastAsia="宋体" w:cs="宋体"/>
          <w:b/>
          <w:bCs/>
          <w:color w:val="333333"/>
          <w:kern w:val="0"/>
          <w:sz w:val="36"/>
          <w:szCs w:val="36"/>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第二条本办法适用于本溪市溪湖区部门名称部门预决算信息公开管理。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w:t>
      </w:r>
      <w:r>
        <w:rPr>
          <w:rFonts w:hint="eastAsia" w:ascii="宋体" w:hAnsi="宋体" w:eastAsia="宋体" w:cs="宋体"/>
          <w:b/>
          <w:bCs/>
          <w:color w:val="333333"/>
          <w:kern w:val="0"/>
          <w:sz w:val="36"/>
          <w:szCs w:val="36"/>
          <w:lang w:eastAsia="zh-CN"/>
        </w:rPr>
        <w:t>中医院</w:t>
      </w:r>
      <w:r>
        <w:rPr>
          <w:rFonts w:hint="eastAsia" w:ascii="宋体" w:hAnsi="宋体" w:eastAsia="宋体" w:cs="宋体"/>
          <w:b/>
          <w:bCs/>
          <w:color w:val="333333"/>
          <w:kern w:val="0"/>
          <w:sz w:val="36"/>
          <w:szCs w:val="36"/>
        </w:rPr>
        <w:t>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keepLines/>
        <w:widowControl/>
        <w:shd w:val="clear" w:color="auto" w:fill="FFFFFF"/>
        <w:ind w:firstLine="645"/>
        <w:jc w:val="left"/>
        <w:rPr>
          <w:rFonts w:hint="eastAsia"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rPr>
        <w:t xml:space="preserve"> </w:t>
      </w:r>
      <w:r>
        <w:rPr>
          <w:rFonts w:hint="eastAsia" w:ascii="仿宋_GB2312" w:hAnsi="微软雅黑" w:eastAsia="仿宋_GB2312" w:cs="宋体"/>
          <w:color w:val="333333"/>
          <w:kern w:val="0"/>
          <w:sz w:val="32"/>
          <w:szCs w:val="32"/>
          <w:lang w:val="en-US" w:eastAsia="zh-CN"/>
        </w:rPr>
        <w:t>1.为人民身体健康提供医疗与护理保健服务。</w:t>
      </w:r>
    </w:p>
    <w:p>
      <w:pPr>
        <w:keepLines/>
        <w:widowControl/>
        <w:shd w:val="clear" w:color="auto" w:fill="FFFFFF"/>
        <w:ind w:firstLine="645"/>
        <w:jc w:val="left"/>
        <w:rPr>
          <w:rFonts w:hint="eastAsia"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lang w:val="en-US" w:eastAsia="zh-CN"/>
        </w:rPr>
        <w:t>2.人员编制:事业编制15名。</w:t>
      </w:r>
    </w:p>
    <w:p>
      <w:pPr>
        <w:keepLines/>
        <w:widowControl/>
        <w:shd w:val="clear" w:color="auto" w:fill="FFFFFF"/>
        <w:ind w:firstLine="645"/>
        <w:jc w:val="left"/>
        <w:rPr>
          <w:rFonts w:hint="eastAsia"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lang w:val="en-US" w:eastAsia="zh-CN"/>
        </w:rPr>
        <w:t>3.人员编制经费性质:差额拨款。</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w:t>
      </w:r>
      <w:r>
        <w:rPr>
          <w:rFonts w:hint="eastAsia" w:ascii="仿宋_GB2312" w:hAnsi="微软雅黑" w:eastAsia="仿宋_GB2312" w:cs="宋体"/>
          <w:color w:val="333333"/>
          <w:kern w:val="0"/>
          <w:sz w:val="32"/>
          <w:szCs w:val="32"/>
          <w:lang w:eastAsia="zh-CN"/>
        </w:rPr>
        <w:t>中医院</w:t>
      </w:r>
      <w:r>
        <w:rPr>
          <w:rFonts w:hint="eastAsia" w:ascii="仿宋_GB2312" w:hAnsi="微软雅黑" w:eastAsia="仿宋_GB2312" w:cs="宋体"/>
          <w:color w:val="333333"/>
          <w:kern w:val="0"/>
          <w:sz w:val="32"/>
          <w:szCs w:val="32"/>
        </w:rPr>
        <w:t>2021年部门预算编制范围的二级预算单位包括：</w:t>
      </w:r>
    </w:p>
    <w:p>
      <w:pPr>
        <w:keepLines/>
        <w:widowControl/>
        <w:shd w:val="clear" w:color="auto" w:fill="FFFFFF"/>
        <w:jc w:val="left"/>
        <w:rPr>
          <w:rFonts w:hint="eastAsia" w:ascii="微软雅黑" w:hAnsi="微软雅黑" w:eastAsia="仿宋_GB2312" w:cs="宋体"/>
          <w:color w:val="333333"/>
          <w:kern w:val="0"/>
          <w:sz w:val="24"/>
          <w:szCs w:val="24"/>
          <w:lang w:eastAsia="zh-CN"/>
        </w:rPr>
      </w:pPr>
      <w:r>
        <w:rPr>
          <w:rFonts w:hint="eastAsia" w:ascii="仿宋_GB2312" w:hAnsi="微软雅黑" w:eastAsia="仿宋_GB2312" w:cs="宋体"/>
          <w:color w:val="333333"/>
          <w:kern w:val="0"/>
          <w:sz w:val="32"/>
          <w:szCs w:val="32"/>
        </w:rPr>
        <w:t xml:space="preserve">（一） </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w:t>
      </w:r>
      <w:r>
        <w:rPr>
          <w:rFonts w:hint="eastAsia" w:ascii="宋体" w:hAnsi="宋体" w:eastAsia="宋体" w:cs="宋体"/>
          <w:b/>
          <w:bCs/>
          <w:color w:val="333333"/>
          <w:kern w:val="0"/>
          <w:sz w:val="36"/>
          <w:szCs w:val="36"/>
          <w:lang w:eastAsia="zh-CN"/>
        </w:rPr>
        <w:t>中医院</w:t>
      </w:r>
      <w:r>
        <w:rPr>
          <w:rFonts w:hint="eastAsia" w:ascii="宋体" w:hAnsi="宋体" w:eastAsia="宋体" w:cs="宋体"/>
          <w:b/>
          <w:bCs/>
          <w:color w:val="333333"/>
          <w:kern w:val="0"/>
          <w:sz w:val="36"/>
          <w:szCs w:val="36"/>
        </w:rPr>
        <w:t>2021年部门预算情况说明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w:t>
      </w:r>
      <w:r>
        <w:rPr>
          <w:rFonts w:hint="eastAsia" w:ascii="仿宋_GB2312" w:hAnsi="微软雅黑" w:eastAsia="仿宋_GB2312" w:cs="宋体"/>
          <w:color w:val="333333"/>
          <w:kern w:val="0"/>
          <w:sz w:val="32"/>
          <w:szCs w:val="32"/>
          <w:lang w:eastAsia="zh-CN"/>
        </w:rPr>
        <w:t>中医院</w:t>
      </w:r>
      <w:r>
        <w:rPr>
          <w:rFonts w:hint="eastAsia" w:ascii="仿宋_GB2312" w:hAnsi="微软雅黑" w:eastAsia="仿宋_GB2312" w:cs="宋体"/>
          <w:color w:val="333333"/>
          <w:kern w:val="0"/>
          <w:sz w:val="32"/>
          <w:szCs w:val="32"/>
        </w:rPr>
        <w:t>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3.73</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color w:val="333333"/>
          <w:kern w:val="0"/>
          <w:sz w:val="32"/>
          <w:szCs w:val="32"/>
          <w:lang w:val="en-US" w:eastAsia="zh-CN"/>
        </w:rPr>
        <w:t>3.73</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b/>
          <w:bCs/>
          <w:color w:val="333333"/>
          <w:kern w:val="0"/>
          <w:sz w:val="32"/>
          <w:szCs w:val="32"/>
          <w:lang w:val="en-US" w:eastAsia="zh-CN"/>
        </w:rPr>
        <w:t>3.73</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3.73</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2021年预算收支比2020年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0.52</w:t>
      </w:r>
      <w:r>
        <w:rPr>
          <w:rFonts w:hint="eastAsia" w:ascii="仿宋_GB2312" w:hAnsi="微软雅黑" w:eastAsia="仿宋_GB2312" w:cs="宋体"/>
          <w:color w:val="333333"/>
          <w:kern w:val="0"/>
          <w:sz w:val="32"/>
          <w:szCs w:val="32"/>
        </w:rPr>
        <w:t>万元，增减变化的主要原因为</w:t>
      </w:r>
      <w:r>
        <w:rPr>
          <w:rFonts w:hint="eastAsia" w:ascii="仿宋_GB2312" w:hAnsi="微软雅黑" w:eastAsia="仿宋_GB2312" w:cs="宋体"/>
          <w:color w:val="333333"/>
          <w:kern w:val="0"/>
          <w:sz w:val="32"/>
          <w:szCs w:val="32"/>
          <w:lang w:eastAsia="zh-CN"/>
        </w:rPr>
        <w:t>退休人员社会保障支出增加</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中医院</w:t>
      </w:r>
      <w:r>
        <w:rPr>
          <w:rFonts w:hint="eastAsia" w:ascii="仿宋_GB2312" w:hAnsi="微软雅黑" w:eastAsia="仿宋_GB2312" w:cs="宋体"/>
          <w:color w:val="333333"/>
          <w:kern w:val="0"/>
          <w:sz w:val="32"/>
          <w:szCs w:val="32"/>
        </w:rPr>
        <w:t>机关运行经费预算为</w:t>
      </w:r>
      <w:r>
        <w:rPr>
          <w:rFonts w:hint="eastAsia" w:ascii="仿宋_GB2312" w:hAnsi="微软雅黑" w:eastAsia="仿宋_GB2312" w:cs="宋体"/>
          <w:color w:val="333333"/>
          <w:kern w:val="0"/>
          <w:sz w:val="32"/>
          <w:szCs w:val="32"/>
          <w:lang w:val="en-US" w:eastAsia="zh-CN"/>
        </w:rPr>
        <w:t>1.15</w:t>
      </w:r>
      <w:r>
        <w:rPr>
          <w:rFonts w:hint="eastAsia" w:ascii="仿宋_GB2312" w:hAnsi="微软雅黑" w:eastAsia="仿宋_GB2312" w:cs="宋体"/>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2021年预算比2020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0.04</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物业管理费增加</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中医院</w:t>
      </w:r>
      <w:r>
        <w:rPr>
          <w:rFonts w:hint="eastAsia" w:ascii="仿宋_GB2312" w:hAnsi="微软雅黑" w:eastAsia="仿宋_GB2312" w:cs="宋体"/>
          <w:color w:val="333333"/>
          <w:kern w:val="0"/>
          <w:sz w:val="32"/>
          <w:szCs w:val="32"/>
        </w:rPr>
        <w:t>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中医院</w:t>
      </w:r>
      <w:r>
        <w:rPr>
          <w:rFonts w:hint="eastAsia" w:ascii="仿宋_GB2312" w:hAnsi="微软雅黑" w:eastAsia="仿宋_GB2312" w:cs="宋体"/>
          <w:color w:val="333333"/>
          <w:kern w:val="0"/>
          <w:sz w:val="32"/>
          <w:szCs w:val="32"/>
        </w:rPr>
        <w:t>一般公共预算安排“三公”经费预算为</w:t>
      </w:r>
      <w:r>
        <w:rPr>
          <w:rFonts w:hint="eastAsia" w:ascii="仿宋_GB2312" w:hAnsi="微软雅黑" w:eastAsia="仿宋_GB2312" w:cs="宋体"/>
          <w:color w:val="333333"/>
          <w:kern w:val="0"/>
          <w:sz w:val="32"/>
          <w:szCs w:val="32"/>
          <w:lang w:val="en-US" w:eastAsia="zh-CN"/>
        </w:rPr>
        <w:t>0.03</w:t>
      </w:r>
      <w:r>
        <w:rPr>
          <w:rFonts w:hint="eastAsia" w:ascii="仿宋_GB2312" w:hAnsi="微软雅黑" w:eastAsia="仿宋_GB2312" w:cs="宋体"/>
          <w:color w:val="333333"/>
          <w:kern w:val="0"/>
          <w:sz w:val="32"/>
          <w:szCs w:val="32"/>
        </w:rPr>
        <w:t>万元，</w:t>
      </w:r>
      <w:r>
        <w:rPr>
          <w:rFonts w:hint="eastAsia" w:ascii="仿宋_GB2312" w:hAnsi="微软雅黑" w:eastAsia="仿宋_GB2312" w:cs="宋体"/>
          <w:color w:val="333333"/>
          <w:kern w:val="0"/>
          <w:sz w:val="32"/>
          <w:szCs w:val="32"/>
          <w:lang w:eastAsia="zh-CN"/>
        </w:rPr>
        <w:t>比</w:t>
      </w:r>
      <w:r>
        <w:rPr>
          <w:rFonts w:hint="eastAsia" w:ascii="仿宋_GB2312" w:hAnsi="微软雅黑" w:eastAsia="仿宋_GB2312" w:cs="宋体"/>
          <w:color w:val="333333"/>
          <w:kern w:val="0"/>
          <w:sz w:val="32"/>
          <w:szCs w:val="32"/>
        </w:rPr>
        <w:t>2020年</w:t>
      </w:r>
      <w:r>
        <w:rPr>
          <w:rFonts w:hint="eastAsia" w:ascii="仿宋_GB2312" w:hAnsi="微软雅黑" w:eastAsia="仿宋_GB2312" w:cs="宋体"/>
          <w:color w:val="333333"/>
          <w:kern w:val="0"/>
          <w:sz w:val="32"/>
          <w:szCs w:val="32"/>
          <w:lang w:eastAsia="zh-CN"/>
        </w:rPr>
        <w:t>减少</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万元，下降0%。其中：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1.因公出国（境）费0万元，比2020年增加/减少持平万元，主要原因是……</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w:t>
      </w:r>
      <w:r>
        <w:rPr>
          <w:rFonts w:hint="eastAsia" w:ascii="仿宋_GB2312" w:hAnsi="微软雅黑" w:eastAsia="仿宋_GB2312" w:cs="宋体"/>
          <w:color w:val="333333"/>
          <w:kern w:val="0"/>
          <w:sz w:val="32"/>
          <w:szCs w:val="32"/>
          <w:lang w:val="en-US" w:eastAsia="zh-CN"/>
        </w:rPr>
        <w:t>.03</w:t>
      </w:r>
      <w:r>
        <w:rPr>
          <w:rFonts w:hint="eastAsia" w:ascii="仿宋_GB2312" w:hAnsi="微软雅黑" w:eastAsia="仿宋_GB2312" w:cs="宋体"/>
          <w:color w:val="333333"/>
          <w:kern w:val="0"/>
          <w:sz w:val="32"/>
          <w:szCs w:val="32"/>
        </w:rPr>
        <w:t>万元，比2020年减少0万元。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3.公务用车购置及运行费0万元，比2020年增加/减少持平0万元，主要原因是……。</w:t>
      </w:r>
    </w:p>
    <w:p>
      <w:pPr>
        <w:keepLines/>
        <w:widowControl/>
        <w:shd w:val="clear" w:color="auto" w:fill="FFFFFF"/>
        <w:jc w:val="center"/>
        <w:rPr>
          <w:rFonts w:hint="eastAsia" w:ascii="仿宋_GB2312" w:hAnsi="微软雅黑" w:eastAsia="仿宋_GB2312" w:cs="宋体"/>
          <w:b/>
          <w:bCs/>
          <w:color w:val="333333"/>
          <w:kern w:val="0"/>
          <w:sz w:val="32"/>
          <w:szCs w:val="32"/>
        </w:rPr>
      </w:pPr>
    </w:p>
    <w:p>
      <w:pPr>
        <w:keepLines/>
        <w:widowControl/>
        <w:shd w:val="clear" w:color="auto" w:fill="FFFFFF"/>
        <w:jc w:val="center"/>
        <w:rPr>
          <w:rFonts w:hint="eastAsia" w:ascii="仿宋_GB2312" w:hAnsi="微软雅黑" w:eastAsia="仿宋_GB2312" w:cs="宋体"/>
          <w:b/>
          <w:bCs/>
          <w:color w:val="333333"/>
          <w:kern w:val="0"/>
          <w:sz w:val="32"/>
          <w:szCs w:val="32"/>
        </w:rPr>
      </w:pPr>
    </w:p>
    <w:p>
      <w:pPr>
        <w:keepLines/>
        <w:widowControl/>
        <w:shd w:val="clear" w:color="auto" w:fill="FFFFFF"/>
        <w:jc w:val="center"/>
        <w:rPr>
          <w:rFonts w:hint="eastAsia" w:ascii="仿宋_GB2312" w:hAnsi="微软雅黑" w:eastAsia="仿宋_GB2312" w:cs="宋体"/>
          <w:b/>
          <w:bCs/>
          <w:color w:val="333333"/>
          <w:kern w:val="0"/>
          <w:sz w:val="32"/>
          <w:szCs w:val="32"/>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2021年本溪市溪湖区</w:t>
      </w:r>
      <w:r>
        <w:rPr>
          <w:rFonts w:hint="eastAsia" w:ascii="仿宋_GB2312" w:hAnsi="微软雅黑" w:eastAsia="仿宋_GB2312" w:cs="宋体"/>
          <w:b/>
          <w:bCs/>
          <w:color w:val="333333"/>
          <w:kern w:val="0"/>
          <w:sz w:val="32"/>
          <w:szCs w:val="32"/>
          <w:lang w:eastAsia="zh-CN"/>
        </w:rPr>
        <w:t>中医院</w:t>
      </w:r>
      <w:r>
        <w:rPr>
          <w:rFonts w:hint="eastAsia" w:ascii="仿宋_GB2312" w:hAnsi="微软雅黑" w:eastAsia="仿宋_GB2312" w:cs="宋体"/>
          <w:b/>
          <w:bCs/>
          <w:color w:val="333333"/>
          <w:kern w:val="0"/>
          <w:sz w:val="32"/>
          <w:szCs w:val="32"/>
        </w:rPr>
        <w:t>“三公”经费预算表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3"/>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2020年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0.03</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0.03</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w:t>
      </w:r>
      <w:r>
        <w:rPr>
          <w:rFonts w:hint="eastAsia" w:ascii="仿宋_GB2312" w:hAnsi="微软雅黑" w:eastAsia="仿宋_GB2312" w:cs="宋体"/>
          <w:color w:val="333333"/>
          <w:kern w:val="0"/>
          <w:sz w:val="32"/>
          <w:szCs w:val="32"/>
          <w:lang w:eastAsia="zh-CN"/>
        </w:rPr>
        <w:t>中医院</w:t>
      </w:r>
      <w:r>
        <w:rPr>
          <w:rFonts w:hint="eastAsia" w:ascii="仿宋_GB2312" w:hAnsi="微软雅黑" w:eastAsia="仿宋_GB2312" w:cs="宋体"/>
          <w:color w:val="333333"/>
          <w:kern w:val="0"/>
          <w:sz w:val="32"/>
          <w:szCs w:val="32"/>
        </w:rPr>
        <w:t>共有车辆0台，其中：一般公务用车0台……。其他国有资产情况……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w:t>
      </w:r>
      <w:r>
        <w:rPr>
          <w:rFonts w:hint="eastAsia" w:ascii="仿宋_GB2312" w:hAnsi="微软雅黑" w:eastAsia="仿宋_GB2312" w:cs="宋体"/>
          <w:color w:val="333333"/>
          <w:kern w:val="0"/>
          <w:sz w:val="32"/>
          <w:szCs w:val="32"/>
          <w:lang w:eastAsia="zh-CN"/>
        </w:rPr>
        <w:t>中医院</w:t>
      </w:r>
      <w:r>
        <w:rPr>
          <w:rFonts w:hint="eastAsia" w:ascii="仿宋_GB2312" w:hAnsi="微软雅黑" w:eastAsia="仿宋_GB2312" w:cs="宋体"/>
          <w:color w:val="333333"/>
          <w:kern w:val="0"/>
          <w:sz w:val="32"/>
          <w:szCs w:val="32"/>
        </w:rPr>
        <w:t>2021年应编制绩效目标的项目共0个，实际编制绩效目标的项目共0个，涉及资金0万元，编制绩效目标的项目覆盖率（实际编制绩效目标的项目/应编制绩效目标的项目）为100%。</w:t>
      </w: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tbl>
      <w:tblPr>
        <w:tblStyle w:val="3"/>
        <w:tblW w:w="8519" w:type="dxa"/>
        <w:tblInd w:w="93" w:type="dxa"/>
        <w:tblLayout w:type="autofit"/>
        <w:tblCellMar>
          <w:top w:w="0" w:type="dxa"/>
          <w:left w:w="108" w:type="dxa"/>
          <w:bottom w:w="0" w:type="dxa"/>
          <w:right w:w="108" w:type="dxa"/>
        </w:tblCellMar>
      </w:tblPr>
      <w:tblGrid>
        <w:gridCol w:w="582"/>
        <w:gridCol w:w="709"/>
        <w:gridCol w:w="1417"/>
        <w:gridCol w:w="2977"/>
        <w:gridCol w:w="567"/>
        <w:gridCol w:w="567"/>
        <w:gridCol w:w="567"/>
        <w:gridCol w:w="567"/>
        <w:gridCol w:w="566"/>
      </w:tblGrid>
      <w:tr>
        <w:tblPrEx>
          <w:tblCellMar>
            <w:top w:w="0" w:type="dxa"/>
            <w:left w:w="108" w:type="dxa"/>
            <w:bottom w:w="0" w:type="dxa"/>
            <w:right w:w="108" w:type="dxa"/>
          </w:tblCellMar>
        </w:tblPrEx>
        <w:trPr>
          <w:trHeight w:val="619" w:hRule="atLeast"/>
        </w:trPr>
        <w:tc>
          <w:tcPr>
            <w:tcW w:w="8519" w:type="dxa"/>
            <w:gridSpan w:val="9"/>
            <w:tcBorders>
              <w:top w:val="nil"/>
              <w:left w:val="nil"/>
              <w:bottom w:val="nil"/>
              <w:right w:val="nil"/>
            </w:tcBorders>
            <w:shd w:val="clear" w:color="auto" w:fill="auto"/>
            <w:noWrap/>
            <w:vAlign w:val="center"/>
          </w:tcPr>
          <w:p>
            <w:pPr>
              <w:keepLines/>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部门整体绩效目标情况表</w:t>
            </w: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绩效目标</w:t>
            </w:r>
          </w:p>
        </w:tc>
        <w:tc>
          <w:tcPr>
            <w:tcW w:w="5103" w:type="dxa"/>
            <w:gridSpan w:val="3"/>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年度绩效指标</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指标属性</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运算符号</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指标值</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度量单位</w:t>
            </w: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完成时限</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一级指标</w:t>
            </w:r>
          </w:p>
        </w:tc>
        <w:tc>
          <w:tcPr>
            <w:tcW w:w="141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二级指标</w:t>
            </w:r>
          </w:p>
        </w:tc>
        <w:tc>
          <w:tcPr>
            <w:tcW w:w="297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三级指标</w:t>
            </w: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1.做好各项日常事务性工作。</w:t>
            </w:r>
            <w:r>
              <w:rPr>
                <w:rFonts w:hint="eastAsia" w:ascii="宋体" w:hAnsi="宋体" w:eastAsia="宋体" w:cs="宋体"/>
                <w:kern w:val="0"/>
                <w:szCs w:val="21"/>
              </w:rPr>
              <w:br w:type="textWrapping"/>
            </w:r>
            <w:r>
              <w:rPr>
                <w:rFonts w:hint="eastAsia" w:ascii="宋体" w:hAnsi="宋体" w:eastAsia="宋体" w:cs="宋体"/>
                <w:kern w:val="0"/>
                <w:szCs w:val="21"/>
              </w:rPr>
              <w:t>2.提升服务水平 提高服务对象满意度。</w:t>
            </w:r>
          </w:p>
        </w:tc>
        <w:tc>
          <w:tcPr>
            <w:tcW w:w="709" w:type="dxa"/>
            <w:vMerge w:val="restart"/>
            <w:tcBorders>
              <w:top w:val="single" w:color="auto" w:sz="4" w:space="0"/>
              <w:left w:val="nil"/>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履职效能</w:t>
            </w:r>
          </w:p>
        </w:tc>
        <w:tc>
          <w:tcPr>
            <w:tcW w:w="1417" w:type="dxa"/>
            <w:vMerge w:val="restart"/>
            <w:tcBorders>
              <w:top w:val="single" w:color="auto" w:sz="4" w:space="0"/>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重点工作履行情况</w:t>
            </w:r>
          </w:p>
        </w:tc>
        <w:tc>
          <w:tcPr>
            <w:tcW w:w="297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重点工作办结率</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省、市政府绩效办考核个性指标任务完成情况</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整体工作完成情况</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总体工作完成率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工作完成及时率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工作质量达标率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基础管理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依法行政能力</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综合管理水平</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大幅提高</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预算执行效率</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预算调整率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5</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结余结转变动率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管理效率</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预算编制管理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预算绩效目标覆盖率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预算监督管理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预决算公开情况</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及时公开</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预算收支管理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预算收入管理规范性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严格执行</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预算支出管理规范性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管理规范</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财务管理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内控制度有效性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制度有效</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资产管理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固定资产利用率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业务管理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政府采购管理违法违规行为发生次数</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次</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运行成本</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成本控制成效</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“三公”经费变动率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在职人员控制率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人均公用经费变动率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社会效应</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政治效益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会计从业人员资格覆盖率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经济效益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生态效益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服务对象满意度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政府直属部门职工总体满意度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社会公众满意度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参考考生满意度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285"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可持续性</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体制机制改革</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按人事部门规定完成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bl>
    <w:p>
      <w:pPr>
        <w:rPr>
          <w:rFonts w:hint="eastAsia"/>
        </w:rPr>
      </w:pPr>
    </w:p>
    <w:p>
      <w:pPr>
        <w:jc w:val="center"/>
        <w:rPr>
          <w:rFonts w:hint="eastAsia" w:ascii="宋体" w:hAnsi="宋体"/>
          <w:b/>
          <w:sz w:val="36"/>
          <w:szCs w:val="36"/>
        </w:rPr>
      </w:pPr>
      <w:r>
        <w:rPr>
          <w:rFonts w:hint="eastAsia" w:ascii="宋体" w:hAnsi="宋体"/>
          <w:b/>
          <w:sz w:val="36"/>
          <w:szCs w:val="36"/>
        </w:rPr>
        <w:t>第四部分 名词解释</w:t>
      </w:r>
    </w:p>
    <w:p>
      <w:pPr>
        <w:jc w:val="center"/>
        <w:rPr>
          <w:rFonts w:hint="eastAsia" w:ascii="黑体" w:eastAsia="黑体"/>
          <w:sz w:val="36"/>
          <w:szCs w:val="36"/>
        </w:rPr>
      </w:pPr>
    </w:p>
    <w:p>
      <w:pPr>
        <w:ind w:firstLine="643" w:firstLineChars="200"/>
        <w:jc w:val="left"/>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hint="eastAsia"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hint="eastAsia"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hint="eastAsia"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467FB6"/>
    <w:rsid w:val="00686DA1"/>
    <w:rsid w:val="007F4D5A"/>
    <w:rsid w:val="008D7A97"/>
    <w:rsid w:val="00B218D5"/>
    <w:rsid w:val="00F27900"/>
    <w:rsid w:val="10384A91"/>
    <w:rsid w:val="126B532B"/>
    <w:rsid w:val="15153D8F"/>
    <w:rsid w:val="66F1502C"/>
    <w:rsid w:val="7A334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641</Words>
  <Characters>3660</Characters>
  <Lines>30</Lines>
  <Paragraphs>8</Paragraphs>
  <TotalTime>109</TotalTime>
  <ScaleCrop>false</ScaleCrop>
  <LinksUpToDate>false</LinksUpToDate>
  <CharactersWithSpaces>4293</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Administrator</cp:lastModifiedBy>
  <dcterms:modified xsi:type="dcterms:W3CDTF">2021-07-01T02:08:40Z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CD5EF56C4E574340B3BA23E6246745C7</vt:lpwstr>
  </property>
</Properties>
</file>