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98" w:rsidRDefault="005D6898">
      <w:pPr>
        <w:widowControl/>
        <w:shd w:val="clear" w:color="auto" w:fill="FFFFFF"/>
        <w:jc w:val="center"/>
        <w:rPr>
          <w:rFonts w:ascii="宋体" w:eastAsia="宋体" w:hAnsi="宋体" w:cs="宋体" w:hint="eastAsia"/>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046650">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本溪市溪湖区东风街道办事处</w:t>
      </w:r>
    </w:p>
    <w:p w:rsidR="005D6898" w:rsidRDefault="00046650">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046650">
      <w:pPr>
        <w:jc w:val="center"/>
        <w:rPr>
          <w:rFonts w:ascii="仿宋_GB2312" w:eastAsia="仿宋_GB2312"/>
          <w:sz w:val="32"/>
          <w:szCs w:val="32"/>
        </w:rPr>
      </w:pPr>
      <w:r>
        <w:rPr>
          <w:rFonts w:ascii="仿宋_GB2312" w:eastAsia="仿宋_GB2312" w:hint="eastAsia"/>
          <w:sz w:val="32"/>
          <w:szCs w:val="32"/>
        </w:rPr>
        <w:t>本溪市溪湖区东风街道办事处</w:t>
      </w:r>
    </w:p>
    <w:p w:rsidR="005D6898" w:rsidRDefault="005D6898">
      <w:pPr>
        <w:widowControl/>
        <w:shd w:val="clear" w:color="auto" w:fill="FFFFFF"/>
        <w:jc w:val="center"/>
        <w:rPr>
          <w:rFonts w:ascii="宋体" w:eastAsia="宋体" w:hAnsi="宋体" w:cs="宋体"/>
          <w:b/>
          <w:bCs/>
          <w:color w:val="333333"/>
          <w:kern w:val="0"/>
          <w:sz w:val="53"/>
          <w:szCs w:val="53"/>
        </w:rPr>
      </w:pPr>
    </w:p>
    <w:p w:rsidR="005D6898" w:rsidRDefault="005D6898">
      <w:pPr>
        <w:widowControl/>
        <w:shd w:val="clear" w:color="auto" w:fill="FFFFFF"/>
        <w:jc w:val="center"/>
        <w:rPr>
          <w:rFonts w:ascii="微软雅黑" w:eastAsia="微软雅黑" w:hAnsi="微软雅黑" w:cs="宋体"/>
          <w:color w:val="333333"/>
          <w:kern w:val="0"/>
          <w:sz w:val="24"/>
          <w:szCs w:val="24"/>
        </w:rPr>
      </w:pPr>
    </w:p>
    <w:p w:rsidR="005D6898" w:rsidRDefault="005D6898">
      <w:pPr>
        <w:widowControl/>
        <w:shd w:val="clear" w:color="auto" w:fill="FFFFFF"/>
        <w:jc w:val="center"/>
        <w:rPr>
          <w:rFonts w:ascii="微软雅黑" w:eastAsia="微软雅黑" w:hAnsi="微软雅黑" w:cs="宋体"/>
          <w:color w:val="333333"/>
          <w:kern w:val="0"/>
          <w:sz w:val="24"/>
          <w:szCs w:val="24"/>
        </w:rPr>
      </w:pPr>
    </w:p>
    <w:p w:rsidR="005D6898" w:rsidRDefault="0004665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本溪市溪湖区东风街道办事处目录</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5D6898" w:rsidRDefault="00046650">
      <w:pPr>
        <w:widowControl/>
        <w:shd w:val="clear" w:color="auto" w:fill="FFFFFF"/>
        <w:spacing w:line="560" w:lineRule="exact"/>
        <w:jc w:val="left"/>
        <w:rPr>
          <w:rFonts w:ascii="微软雅黑" w:eastAsia="黑体"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本溪市溪湖区东风街道办事处概况</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5D6898" w:rsidRDefault="00046650">
      <w:pPr>
        <w:widowControl/>
        <w:shd w:val="clear" w:color="auto" w:fill="FFFFFF"/>
        <w:spacing w:line="560" w:lineRule="exact"/>
        <w:ind w:left="1600" w:hangingChars="500" w:hanging="160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本溪市溪湖区东风街道办事处</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年本溪市溪湖区东风街道办事处</w:t>
      </w:r>
      <w:r>
        <w:rPr>
          <w:rFonts w:ascii="黑体" w:eastAsia="黑体" w:hAnsi="黑体" w:cs="宋体" w:hint="eastAsia"/>
          <w:color w:val="333333"/>
          <w:kern w:val="0"/>
          <w:sz w:val="32"/>
          <w:szCs w:val="32"/>
        </w:rPr>
        <w:t>批复公开表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5D6898" w:rsidRDefault="0004665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5D6898" w:rsidRDefault="0004665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5D6898" w:rsidRDefault="0004665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5D6898" w:rsidRDefault="0004665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5D6898" w:rsidRDefault="0004665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东风街道办事处预算公开管理文件</w:t>
      </w:r>
    </w:p>
    <w:p w:rsidR="005D6898" w:rsidRDefault="005D689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第二条本办法适用于本溪市溪湖区部门预决算信息公开管理。</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w:t>
      </w:r>
      <w:r>
        <w:rPr>
          <w:rFonts w:ascii="仿宋_GB2312" w:eastAsia="仿宋_GB2312" w:hAnsi="微软雅黑" w:cs="宋体" w:hint="eastAsia"/>
          <w:color w:val="333333"/>
          <w:kern w:val="0"/>
          <w:sz w:val="32"/>
          <w:szCs w:val="32"/>
        </w:rPr>
        <w:t>公开应当公开的事项，确保预决算信息公开及时、准确和完整。</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负责我单位预决算信息公开工作，履行下列职责：</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（一）制定我单位部门预决算信息公开的工作方案；</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（二）按规定公开我单位部门预决算信息；</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5D6898" w:rsidRDefault="0004665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5D6898" w:rsidRDefault="005D6898">
      <w:pPr>
        <w:keepLines/>
        <w:widowControl/>
        <w:shd w:val="clear" w:color="auto" w:fill="FFFFFF"/>
        <w:jc w:val="center"/>
        <w:rPr>
          <w:rFonts w:ascii="微软雅黑" w:eastAsia="微软雅黑" w:hAnsi="微软雅黑" w:cs="宋体"/>
          <w:color w:val="333333"/>
          <w:kern w:val="0"/>
          <w:sz w:val="24"/>
          <w:szCs w:val="24"/>
        </w:rPr>
      </w:pPr>
    </w:p>
    <w:p w:rsidR="005D6898" w:rsidRDefault="005D6898">
      <w:pPr>
        <w:keepLines/>
        <w:widowControl/>
        <w:shd w:val="clear" w:color="auto" w:fill="FFFFFF"/>
        <w:jc w:val="center"/>
        <w:rPr>
          <w:rFonts w:ascii="微软雅黑" w:eastAsia="微软雅黑" w:hAnsi="微软雅黑" w:cs="宋体"/>
          <w:color w:val="333333"/>
          <w:kern w:val="0"/>
          <w:sz w:val="24"/>
          <w:szCs w:val="24"/>
        </w:rPr>
      </w:pPr>
    </w:p>
    <w:p w:rsidR="005D6898" w:rsidRDefault="005D6898">
      <w:pPr>
        <w:keepLines/>
        <w:widowControl/>
        <w:shd w:val="clear" w:color="auto" w:fill="FFFFFF"/>
        <w:jc w:val="center"/>
        <w:rPr>
          <w:rFonts w:ascii="微软雅黑" w:eastAsia="微软雅黑" w:hAnsi="微软雅黑" w:cs="宋体"/>
          <w:color w:val="333333"/>
          <w:kern w:val="0"/>
          <w:sz w:val="24"/>
          <w:szCs w:val="24"/>
        </w:rPr>
      </w:pPr>
    </w:p>
    <w:p w:rsidR="000F17CA" w:rsidRDefault="000F17CA">
      <w:pPr>
        <w:keepLines/>
        <w:widowControl/>
        <w:shd w:val="clear" w:color="auto" w:fill="FFFFFF"/>
        <w:jc w:val="center"/>
        <w:rPr>
          <w:rFonts w:ascii="微软雅黑" w:eastAsia="微软雅黑" w:hAnsi="微软雅黑" w:cs="宋体"/>
          <w:color w:val="333333"/>
          <w:kern w:val="0"/>
          <w:sz w:val="24"/>
          <w:szCs w:val="24"/>
        </w:rPr>
      </w:pPr>
    </w:p>
    <w:p w:rsidR="005D6898" w:rsidRDefault="0004665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本溪市溪湖区东风街道办事处概况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（一）党工委职责</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负责贯彻党的路线、方针、政策，组织和实施“两个文明”建设。</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负责对街道党员的管理教育和基层党建工作，负责街道办事处的组织人事工作。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．负责街道办事处宣传、统战、群团、科协、托幼、关心下一代、老干部工作；负责协调指导群众性的精神文明创建活动。</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负责街道办事处的纪检、信访工作，处理群众来信、来访。</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负责街道办事处的档案工作。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负责本机关事务管理和后勤工作。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负责街道办事处的司法工作、民事调解和法制宣传、综合治理、社会稳定</w:t>
      </w:r>
      <w:r>
        <w:rPr>
          <w:rFonts w:ascii="仿宋_GB2312" w:eastAsia="仿宋_GB2312" w:hAnsi="黑体" w:hint="eastAsia"/>
          <w:sz w:val="32"/>
          <w:szCs w:val="32"/>
        </w:rPr>
        <w:t>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（二）行政职责</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负责民政优抚、社会保障工作，搞好拥军优属。</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负责并指导社区居民委建设，发展公益事业，开展便民利民服务。</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负责动员社区单位和居民参与社区建设，管理社区综合服务事业，承担地区内的下岗、待业人员及残疾人员的就</w:t>
      </w:r>
      <w:r>
        <w:rPr>
          <w:rFonts w:ascii="仿宋_GB2312" w:eastAsia="仿宋_GB2312" w:hAnsi="黑体" w:hint="eastAsia"/>
          <w:sz w:val="32"/>
          <w:szCs w:val="32"/>
        </w:rPr>
        <w:lastRenderedPageBreak/>
        <w:t>业培训和输送安置工作。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负责本地区爱国卫生运动工作规划和城市建设管理任务的落实，负责地区环境保护、绿化及日常管理工作。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负责计划生育工作，制定本地区人口控制计划，贯彻执行党的计划生育方针、政策，宣传普及计划生育知识。</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三）经济及农业职责</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负责编制办事处经济发展的中长期规划和年度计划并组织实施；负责统计工作。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负责街办、委办及地区非公有制企业单位的指导、管理和服务工作。</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负责本地区招商引资工作，搞好财源建设，推动地区经济发展；负责税收征管，搞好协税护税。</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加强财务管理，从严控制支出。对社区居民委的财务管理进行指导和监督。</w:t>
      </w:r>
    </w:p>
    <w:p w:rsidR="005D6898" w:rsidRDefault="00046650">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负责或指导地区及企事业单位的安全、防火、防汛工作。</w:t>
      </w:r>
    </w:p>
    <w:p w:rsidR="005D6898" w:rsidRDefault="00046650">
      <w:pPr>
        <w:ind w:firstLineChars="200" w:firstLine="640"/>
        <w:jc w:val="left"/>
        <w:rPr>
          <w:rFonts w:ascii="黑体" w:eastAsia="黑体"/>
          <w:sz w:val="32"/>
          <w:szCs w:val="32"/>
        </w:rPr>
      </w:pPr>
      <w:r>
        <w:rPr>
          <w:rFonts w:ascii="黑体" w:eastAsia="黑体" w:hint="eastAsia"/>
          <w:sz w:val="32"/>
          <w:szCs w:val="32"/>
        </w:rPr>
        <w:t>二、机构设置</w:t>
      </w:r>
    </w:p>
    <w:p w:rsidR="005D6898" w:rsidRDefault="00046650">
      <w:pPr>
        <w:ind w:firstLineChars="200" w:firstLine="640"/>
        <w:jc w:val="left"/>
        <w:rPr>
          <w:rFonts w:ascii="仿宋_GB2312" w:eastAsia="仿宋_GB2312"/>
          <w:sz w:val="32"/>
          <w:szCs w:val="32"/>
        </w:rPr>
      </w:pPr>
      <w:r>
        <w:rPr>
          <w:rFonts w:ascii="仿宋_GB2312" w:eastAsia="仿宋_GB2312" w:hint="eastAsia"/>
          <w:sz w:val="32"/>
          <w:szCs w:val="32"/>
        </w:rPr>
        <w:t>纳入本溪市溪湖区东风街道办事处</w:t>
      </w:r>
      <w:r>
        <w:rPr>
          <w:rFonts w:ascii="仿宋_GB2312" w:eastAsia="仿宋_GB2312" w:hint="eastAsia"/>
          <w:sz w:val="32"/>
          <w:szCs w:val="32"/>
        </w:rPr>
        <w:t>2020</w:t>
      </w:r>
      <w:r>
        <w:rPr>
          <w:rFonts w:ascii="仿宋_GB2312" w:eastAsia="仿宋_GB2312" w:hint="eastAsia"/>
          <w:sz w:val="32"/>
          <w:szCs w:val="32"/>
        </w:rPr>
        <w:t>年部门预算编制范围的二级预算单位包括：</w:t>
      </w:r>
    </w:p>
    <w:p w:rsidR="005D6898" w:rsidRDefault="00046650">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（一）本溪市溪湖区东风街道办事处</w:t>
      </w:r>
    </w:p>
    <w:p w:rsidR="005D6898" w:rsidRDefault="00046650">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 xml:space="preserve"> </w:t>
      </w:r>
    </w:p>
    <w:p w:rsidR="00046650" w:rsidRDefault="00046650">
      <w:pPr>
        <w:keepLines/>
        <w:widowControl/>
        <w:shd w:val="clear" w:color="auto" w:fill="FFFFFF"/>
        <w:ind w:firstLine="645"/>
        <w:jc w:val="left"/>
        <w:rPr>
          <w:rFonts w:ascii="微软雅黑" w:eastAsia="微软雅黑" w:hAnsi="微软雅黑" w:cs="宋体"/>
          <w:color w:val="333333"/>
          <w:kern w:val="0"/>
          <w:sz w:val="24"/>
          <w:szCs w:val="24"/>
        </w:rPr>
      </w:pPr>
    </w:p>
    <w:p w:rsidR="005D6898" w:rsidRDefault="00046650">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第三部分本溪市溪湖区东风街道办事处</w:t>
      </w:r>
    </w:p>
    <w:p w:rsidR="005D6898" w:rsidRDefault="0004665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5D6898" w:rsidRDefault="005D6898">
      <w:pPr>
        <w:keepLines/>
        <w:widowControl/>
        <w:shd w:val="clear" w:color="auto" w:fill="FFFFFF"/>
        <w:jc w:val="left"/>
        <w:rPr>
          <w:rFonts w:ascii="微软雅黑" w:eastAsia="微软雅黑" w:hAnsi="微软雅黑" w:cs="宋体"/>
          <w:color w:val="333333"/>
          <w:kern w:val="0"/>
          <w:sz w:val="24"/>
          <w:szCs w:val="24"/>
        </w:rPr>
      </w:pPr>
    </w:p>
    <w:p w:rsidR="005D6898" w:rsidRDefault="00046650">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所有收入和支出均纳入部门预算管理。其中：</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882.57</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882.57</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882.57</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817.77</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64.8</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587.37</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年初东风办事处</w:t>
      </w:r>
      <w:proofErr w:type="gramStart"/>
      <w:r>
        <w:rPr>
          <w:rFonts w:ascii="仿宋_GB2312" w:eastAsia="仿宋_GB2312" w:hAnsi="微软雅黑" w:cs="宋体" w:hint="eastAsia"/>
          <w:color w:val="333333"/>
          <w:kern w:val="0"/>
          <w:sz w:val="32"/>
          <w:szCs w:val="32"/>
        </w:rPr>
        <w:t>与彩北办事处</w:t>
      </w:r>
      <w:proofErr w:type="gramEnd"/>
      <w:r>
        <w:rPr>
          <w:rFonts w:ascii="仿宋_GB2312" w:eastAsia="仿宋_GB2312" w:hAnsi="微软雅黑" w:cs="宋体" w:hint="eastAsia"/>
          <w:color w:val="333333"/>
          <w:kern w:val="0"/>
          <w:sz w:val="32"/>
          <w:szCs w:val="32"/>
        </w:rPr>
        <w:t>机构合并，部门及人员变化大。</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617.29</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512.01</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年初东风办事处</w:t>
      </w:r>
      <w:proofErr w:type="gramStart"/>
      <w:r>
        <w:rPr>
          <w:rFonts w:ascii="仿宋_GB2312" w:eastAsia="仿宋_GB2312" w:hAnsi="微软雅黑" w:cs="宋体" w:hint="eastAsia"/>
          <w:color w:val="333333"/>
          <w:kern w:val="0"/>
          <w:sz w:val="32"/>
          <w:szCs w:val="32"/>
        </w:rPr>
        <w:t>与彩北办事处</w:t>
      </w:r>
      <w:proofErr w:type="gramEnd"/>
      <w:r>
        <w:rPr>
          <w:rFonts w:ascii="仿宋_GB2312" w:eastAsia="仿宋_GB2312" w:hAnsi="微软雅黑" w:cs="宋体" w:hint="eastAsia"/>
          <w:color w:val="333333"/>
          <w:kern w:val="0"/>
          <w:sz w:val="32"/>
          <w:szCs w:val="32"/>
        </w:rPr>
        <w:t>机构合并，部门及人员变化大。</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66.79</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66.79</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6898" w:rsidRDefault="0004665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6.63</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2.25</w:t>
      </w:r>
      <w:r>
        <w:rPr>
          <w:rFonts w:ascii="仿宋_GB2312" w:eastAsia="仿宋_GB2312" w:hAnsi="微软雅黑" w:cs="宋体" w:hint="eastAsia"/>
          <w:color w:val="333333"/>
          <w:kern w:val="0"/>
          <w:sz w:val="32"/>
          <w:szCs w:val="32"/>
        </w:rPr>
        <w:t>万元，增长</w:t>
      </w:r>
      <w:r>
        <w:rPr>
          <w:rFonts w:ascii="仿宋_GB2312" w:eastAsia="仿宋_GB2312" w:hAnsi="微软雅黑" w:cs="宋体" w:hint="eastAsia"/>
          <w:color w:val="333333"/>
          <w:kern w:val="0"/>
          <w:sz w:val="32"/>
          <w:szCs w:val="32"/>
        </w:rPr>
        <w:t>51.4%</w:t>
      </w:r>
      <w:r>
        <w:rPr>
          <w:rFonts w:ascii="仿宋_GB2312" w:eastAsia="仿宋_GB2312" w:hAnsi="微软雅黑" w:cs="宋体" w:hint="eastAsia"/>
          <w:color w:val="333333"/>
          <w:kern w:val="0"/>
          <w:sz w:val="32"/>
          <w:szCs w:val="32"/>
        </w:rPr>
        <w:t>。其中：</w:t>
      </w:r>
    </w:p>
    <w:p w:rsidR="005D6898" w:rsidRDefault="00046650">
      <w:pPr>
        <w:keepLines/>
        <w:widowControl/>
        <w:numPr>
          <w:ilvl w:val="0"/>
          <w:numId w:val="1"/>
        </w:numPr>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p>
    <w:p w:rsidR="005D6898" w:rsidRDefault="00046650">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bookmarkStart w:id="0" w:name="_GoBack"/>
      <w:r>
        <w:rPr>
          <w:rFonts w:ascii="仿宋_GB2312" w:eastAsia="仿宋_GB2312" w:hAnsi="微软雅黑" w:cs="宋体" w:hint="eastAsia"/>
          <w:color w:val="333333"/>
          <w:kern w:val="0"/>
          <w:sz w:val="32"/>
          <w:szCs w:val="32"/>
        </w:rPr>
        <w:t>0.33</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0.15</w:t>
      </w:r>
      <w:r>
        <w:rPr>
          <w:rFonts w:ascii="仿宋_GB2312" w:eastAsia="仿宋_GB2312" w:hAnsi="微软雅黑" w:cs="宋体" w:hint="eastAsia"/>
          <w:color w:val="333333"/>
          <w:kern w:val="0"/>
          <w:sz w:val="32"/>
          <w:szCs w:val="32"/>
        </w:rPr>
        <w:t>万元，主要为</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年初东风办事处</w:t>
      </w:r>
      <w:proofErr w:type="gramStart"/>
      <w:r>
        <w:rPr>
          <w:rFonts w:ascii="仿宋_GB2312" w:eastAsia="仿宋_GB2312" w:hAnsi="微软雅黑" w:cs="宋体" w:hint="eastAsia"/>
          <w:color w:val="333333"/>
          <w:kern w:val="0"/>
          <w:sz w:val="32"/>
          <w:szCs w:val="32"/>
        </w:rPr>
        <w:t>与彩北办事处</w:t>
      </w:r>
      <w:proofErr w:type="gramEnd"/>
      <w:r>
        <w:rPr>
          <w:rFonts w:ascii="仿宋_GB2312" w:eastAsia="仿宋_GB2312" w:hAnsi="微软雅黑" w:cs="宋体" w:hint="eastAsia"/>
          <w:color w:val="333333"/>
          <w:kern w:val="0"/>
          <w:sz w:val="32"/>
          <w:szCs w:val="32"/>
        </w:rPr>
        <w:t>机构合并，部门及人员变化大。</w:t>
      </w:r>
    </w:p>
    <w:bookmarkEnd w:id="0"/>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6.3</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年初东风</w:t>
      </w:r>
      <w:proofErr w:type="gramStart"/>
      <w:r>
        <w:rPr>
          <w:rFonts w:ascii="仿宋_GB2312" w:eastAsia="仿宋_GB2312" w:hAnsi="微软雅黑" w:cs="宋体" w:hint="eastAsia"/>
          <w:color w:val="333333"/>
          <w:kern w:val="0"/>
          <w:sz w:val="32"/>
          <w:szCs w:val="32"/>
        </w:rPr>
        <w:t>与彩北办事处</w:t>
      </w:r>
      <w:proofErr w:type="gramEnd"/>
      <w:r>
        <w:rPr>
          <w:rFonts w:ascii="仿宋_GB2312" w:eastAsia="仿宋_GB2312" w:hAnsi="微软雅黑" w:cs="宋体" w:hint="eastAsia"/>
          <w:color w:val="333333"/>
          <w:kern w:val="0"/>
          <w:sz w:val="32"/>
          <w:szCs w:val="32"/>
        </w:rPr>
        <w:t>合并后，多增加一台公车。</w:t>
      </w:r>
    </w:p>
    <w:p w:rsidR="005D6898" w:rsidRDefault="0004665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r w:rsidR="000F17CA">
        <w:rPr>
          <w:rFonts w:ascii="仿宋_GB2312" w:eastAsia="仿宋_GB2312" w:hAnsi="微软雅黑" w:cs="宋体" w:hint="eastAsia"/>
          <w:b/>
          <w:bCs/>
          <w:color w:val="333333"/>
          <w:kern w:val="0"/>
          <w:sz w:val="32"/>
          <w:szCs w:val="32"/>
        </w:rPr>
        <w:t>东风街道办事处</w:t>
      </w:r>
      <w:r>
        <w:rPr>
          <w:rFonts w:ascii="仿宋_GB2312" w:eastAsia="仿宋_GB2312" w:hAnsi="微软雅黑" w:cs="宋体" w:hint="eastAsia"/>
          <w:b/>
          <w:bCs/>
          <w:color w:val="333333"/>
          <w:kern w:val="0"/>
          <w:sz w:val="32"/>
          <w:szCs w:val="32"/>
        </w:rPr>
        <w:t>“三公”经费预算表</w:t>
      </w:r>
    </w:p>
    <w:p w:rsidR="005D6898" w:rsidRDefault="0004665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5D6898">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5D6898">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5D6898" w:rsidRDefault="005D6898">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5D6898">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4.38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6.63</w:t>
            </w:r>
          </w:p>
        </w:tc>
      </w:tr>
      <w:tr w:rsidR="005D6898">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5D6898">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0.18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0.33</w:t>
            </w:r>
          </w:p>
        </w:tc>
      </w:tr>
      <w:tr w:rsidR="005D6898">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r>
      <w:tr w:rsidR="005D6898">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5D6898">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D6898" w:rsidRDefault="00046650">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r>
    </w:tbl>
    <w:p w:rsidR="005D6898" w:rsidRDefault="005D6898">
      <w:pPr>
        <w:keepLines/>
        <w:widowControl/>
        <w:shd w:val="clear" w:color="auto" w:fill="FFFFFF"/>
        <w:jc w:val="left"/>
        <w:rPr>
          <w:rFonts w:ascii="微软雅黑" w:eastAsia="微软雅黑" w:hAnsi="微软雅黑" w:cs="宋体"/>
          <w:color w:val="333333"/>
          <w:kern w:val="0"/>
          <w:sz w:val="24"/>
          <w:szCs w:val="24"/>
        </w:rPr>
      </w:pP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台。其他国有资产情况……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5D6898" w:rsidRDefault="0004665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sidR="000F17CA">
        <w:rPr>
          <w:rFonts w:ascii="仿宋_GB2312" w:eastAsia="仿宋_GB2312" w:hAnsi="微软雅黑" w:cs="宋体" w:hint="eastAsia"/>
          <w:color w:val="333333"/>
          <w:kern w:val="0"/>
          <w:sz w:val="32"/>
          <w:szCs w:val="32"/>
        </w:rPr>
        <w:t>东风街道办事处</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64.8</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5D6898" w:rsidRDefault="005D6898">
      <w:pPr>
        <w:keepLines/>
      </w:pPr>
    </w:p>
    <w:p w:rsidR="005D6898" w:rsidRDefault="005D6898">
      <w:pPr>
        <w:keepLines/>
      </w:pPr>
    </w:p>
    <w:p w:rsidR="005D6898" w:rsidRDefault="005D6898">
      <w:pPr>
        <w:keepLines/>
      </w:pPr>
    </w:p>
    <w:p w:rsidR="005D6898" w:rsidRDefault="005D6898">
      <w:pPr>
        <w:keepLines/>
      </w:pPr>
    </w:p>
    <w:p w:rsidR="005D6898" w:rsidRDefault="005D6898">
      <w:pPr>
        <w:keepLines/>
      </w:pPr>
    </w:p>
    <w:p w:rsidR="005D6898" w:rsidRDefault="005D6898">
      <w:pPr>
        <w:keepLines/>
      </w:pPr>
    </w:p>
    <w:p w:rsidR="005D6898" w:rsidRDefault="005D6898">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5D6898">
        <w:trPr>
          <w:trHeight w:val="619"/>
        </w:trPr>
        <w:tc>
          <w:tcPr>
            <w:tcW w:w="8519" w:type="dxa"/>
            <w:gridSpan w:val="9"/>
            <w:tcBorders>
              <w:top w:val="nil"/>
              <w:left w:val="nil"/>
              <w:bottom w:val="nil"/>
              <w:right w:val="nil"/>
            </w:tcBorders>
            <w:shd w:val="clear" w:color="auto" w:fill="auto"/>
            <w:noWrap/>
            <w:vAlign w:val="center"/>
          </w:tcPr>
          <w:p w:rsidR="005D6898" w:rsidRDefault="00046650">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5D6898">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5D6898">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r>
      <w:tr w:rsidR="005D6898">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5D6898">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98" w:rsidRDefault="005D6898">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5D6898" w:rsidRDefault="0004665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5D6898" w:rsidRDefault="005D6898"/>
    <w:p w:rsidR="005D6898" w:rsidRDefault="00046650">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5D6898" w:rsidRDefault="005D6898">
      <w:pPr>
        <w:jc w:val="center"/>
        <w:rPr>
          <w:rFonts w:ascii="黑体" w:eastAsia="黑体"/>
          <w:sz w:val="36"/>
          <w:szCs w:val="36"/>
        </w:rPr>
      </w:pP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5D6898" w:rsidRDefault="00046650" w:rsidP="00046650">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5D6898" w:rsidRDefault="00046650" w:rsidP="00046650">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D6898" w:rsidRDefault="00046650" w:rsidP="00046650">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5D6898" w:rsidRDefault="00046650" w:rsidP="00046650">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5D6898" w:rsidRDefault="00046650" w:rsidP="00046650">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5D6898" w:rsidRDefault="00046650" w:rsidP="000D465F">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5D6898" w:rsidSect="005D6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CA" w:rsidRDefault="000F17CA" w:rsidP="000F17CA">
      <w:r>
        <w:separator/>
      </w:r>
    </w:p>
  </w:endnote>
  <w:endnote w:type="continuationSeparator" w:id="0">
    <w:p w:rsidR="000F17CA" w:rsidRDefault="000F17CA" w:rsidP="000F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CA" w:rsidRDefault="000F17CA" w:rsidP="000F17CA">
      <w:r>
        <w:separator/>
      </w:r>
    </w:p>
  </w:footnote>
  <w:footnote w:type="continuationSeparator" w:id="0">
    <w:p w:rsidR="000F17CA" w:rsidRDefault="000F17CA" w:rsidP="000F1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18E3E"/>
    <w:multiLevelType w:val="singleLevel"/>
    <w:tmpl w:val="82418E3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46650"/>
    <w:rsid w:val="000D465F"/>
    <w:rsid w:val="000F17CA"/>
    <w:rsid w:val="001770E9"/>
    <w:rsid w:val="00177A6F"/>
    <w:rsid w:val="00467FB6"/>
    <w:rsid w:val="005D6898"/>
    <w:rsid w:val="00686DA1"/>
    <w:rsid w:val="007F4D5A"/>
    <w:rsid w:val="008D7A97"/>
    <w:rsid w:val="00B218D5"/>
    <w:rsid w:val="00F27900"/>
    <w:rsid w:val="06BE5E4D"/>
    <w:rsid w:val="12E91DE3"/>
    <w:rsid w:val="1BCC07CD"/>
    <w:rsid w:val="22256E48"/>
    <w:rsid w:val="2DEF5E93"/>
    <w:rsid w:val="2E3425A8"/>
    <w:rsid w:val="3C6B033D"/>
    <w:rsid w:val="4C27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68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6898"/>
    <w:rPr>
      <w:b/>
      <w:bCs/>
    </w:rPr>
  </w:style>
  <w:style w:type="paragraph" w:styleId="a5">
    <w:name w:val="List Paragraph"/>
    <w:basedOn w:val="a"/>
    <w:uiPriority w:val="34"/>
    <w:qFormat/>
    <w:rsid w:val="005D6898"/>
    <w:pPr>
      <w:ind w:firstLineChars="200" w:firstLine="420"/>
    </w:pPr>
  </w:style>
  <w:style w:type="paragraph" w:styleId="a6">
    <w:name w:val="header"/>
    <w:basedOn w:val="a"/>
    <w:link w:val="Char"/>
    <w:uiPriority w:val="99"/>
    <w:semiHidden/>
    <w:unhideWhenUsed/>
    <w:rsid w:val="000F1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F17CA"/>
    <w:rPr>
      <w:kern w:val="2"/>
      <w:sz w:val="18"/>
      <w:szCs w:val="18"/>
    </w:rPr>
  </w:style>
  <w:style w:type="paragraph" w:styleId="a7">
    <w:name w:val="footer"/>
    <w:basedOn w:val="a"/>
    <w:link w:val="Char0"/>
    <w:uiPriority w:val="99"/>
    <w:semiHidden/>
    <w:unhideWhenUsed/>
    <w:rsid w:val="000F17C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F17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774</Words>
  <Characters>4414</Characters>
  <Application>Microsoft Office Word</Application>
  <DocSecurity>0</DocSecurity>
  <Lines>36</Lines>
  <Paragraphs>10</Paragraphs>
  <ScaleCrop>false</ScaleCrop>
  <Company>china</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2021-08-09T07:55:00Z</cp:lastPrinted>
  <dcterms:created xsi:type="dcterms:W3CDTF">2021-06-10T06:12:00Z</dcterms:created>
  <dcterms:modified xsi:type="dcterms:W3CDTF">2021-08-11T02:38:00Z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AD1C0D0D15ED4EB3A52FB04861396605</vt:lpwstr>
  </property>
</Properties>
</file>