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关于201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  <w:lang w:eastAsia="zh-CN"/>
        </w:rPr>
        <w:t>区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本级</w:t>
      </w:r>
    </w:p>
    <w:p>
      <w:pPr>
        <w:spacing w:line="620" w:lineRule="exact"/>
        <w:jc w:val="center"/>
        <w:rPr>
          <w:rFonts w:hint="eastAsia"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一般公共预算收支决算的说明</w:t>
      </w:r>
    </w:p>
    <w:p>
      <w:pPr>
        <w:spacing w:line="620" w:lineRule="exact"/>
        <w:jc w:val="center"/>
        <w:rPr>
          <w:rFonts w:hint="eastAsia" w:asciiTheme="majorEastAsia" w:hAnsiTheme="majorEastAsia" w:eastAsiaTheme="majorEastAsia"/>
          <w:color w:val="000000"/>
          <w:sz w:val="44"/>
          <w:szCs w:val="44"/>
        </w:rPr>
      </w:pPr>
    </w:p>
    <w:p>
      <w:pPr>
        <w:ind w:firstLine="615"/>
        <w:rPr>
          <w:rFonts w:eastAsia="仿宋_GB2312"/>
        </w:rPr>
      </w:pPr>
      <w:r>
        <w:rPr>
          <w:rFonts w:hint="eastAsia" w:eastAsia="仿宋_GB2312"/>
          <w:lang w:eastAsia="zh-CN"/>
        </w:rPr>
        <w:t>溪湖区本级</w:t>
      </w:r>
      <w:r>
        <w:rPr>
          <w:rFonts w:eastAsia="仿宋_GB2312"/>
        </w:rPr>
        <w:t>一般公共预算收入</w:t>
      </w:r>
      <w:r>
        <w:rPr>
          <w:rFonts w:hint="eastAsia" w:eastAsia="仿宋_GB2312"/>
          <w:lang w:val="en-US" w:eastAsia="zh-CN"/>
        </w:rPr>
        <w:t>4.14</w:t>
      </w:r>
      <w:r>
        <w:rPr>
          <w:rFonts w:eastAsia="仿宋_GB2312"/>
        </w:rPr>
        <w:t>亿元，其中：税收收入完成</w:t>
      </w:r>
      <w:r>
        <w:rPr>
          <w:rFonts w:hint="eastAsia" w:eastAsia="仿宋_GB2312"/>
          <w:lang w:val="en-US" w:eastAsia="zh-CN"/>
        </w:rPr>
        <w:t>3.65</w:t>
      </w:r>
      <w:r>
        <w:rPr>
          <w:rFonts w:eastAsia="仿宋_GB2312"/>
        </w:rPr>
        <w:t>亿元；非税收入完成</w:t>
      </w:r>
      <w:r>
        <w:rPr>
          <w:rFonts w:hint="eastAsia" w:eastAsia="仿宋_GB2312"/>
          <w:lang w:val="en-US" w:eastAsia="zh-CN"/>
        </w:rPr>
        <w:t>0.49</w:t>
      </w:r>
      <w:r>
        <w:rPr>
          <w:rFonts w:eastAsia="仿宋_GB2312"/>
        </w:rPr>
        <w:t>亿元。一般公共预算支出</w:t>
      </w:r>
      <w:r>
        <w:rPr>
          <w:rFonts w:hint="eastAsia" w:eastAsia="仿宋_GB2312"/>
          <w:lang w:val="en-US" w:eastAsia="zh-CN"/>
        </w:rPr>
        <w:t>8.55</w:t>
      </w:r>
      <w:r>
        <w:rPr>
          <w:rFonts w:eastAsia="仿宋_GB2312"/>
        </w:rPr>
        <w:t>亿元。</w:t>
      </w:r>
    </w:p>
    <w:p>
      <w:pPr>
        <w:ind w:firstLine="615"/>
        <w:rPr>
          <w:rFonts w:eastAsia="仿宋_GB2312"/>
          <w:shd w:val="clear" w:color="auto" w:fill="auto"/>
        </w:rPr>
      </w:pPr>
      <w:r>
        <w:rPr>
          <w:rFonts w:hint="eastAsia" w:eastAsia="仿宋_GB2312"/>
          <w:lang w:eastAsia="zh-CN"/>
        </w:rPr>
        <w:t>全区本级</w:t>
      </w:r>
      <w:bookmarkStart w:id="0" w:name="_GoBack"/>
      <w:bookmarkEnd w:id="0"/>
      <w:r>
        <w:rPr>
          <w:rFonts w:eastAsia="仿宋_GB2312"/>
        </w:rPr>
        <w:t>一般公共预算收入</w:t>
      </w:r>
      <w:r>
        <w:rPr>
          <w:rFonts w:hint="eastAsia" w:eastAsia="仿宋_GB2312"/>
          <w:lang w:val="en-US" w:eastAsia="zh-CN"/>
        </w:rPr>
        <w:t>4.14</w:t>
      </w:r>
      <w:r>
        <w:rPr>
          <w:rFonts w:eastAsia="仿宋_GB2312"/>
        </w:rPr>
        <w:t>亿元，加上各类上级补助</w:t>
      </w:r>
      <w:r>
        <w:rPr>
          <w:rFonts w:hint="eastAsia" w:eastAsia="仿宋_GB2312"/>
          <w:lang w:val="en-US" w:eastAsia="zh-CN"/>
        </w:rPr>
        <w:t>3.73</w:t>
      </w:r>
      <w:r>
        <w:rPr>
          <w:rFonts w:eastAsia="仿宋_GB2312"/>
        </w:rPr>
        <w:t>亿元、债券转贷收入</w:t>
      </w:r>
      <w:r>
        <w:rPr>
          <w:rFonts w:hint="eastAsia" w:eastAsia="仿宋_GB2312"/>
          <w:lang w:val="en-US" w:eastAsia="zh-CN"/>
        </w:rPr>
        <w:t>1.96</w:t>
      </w:r>
      <w:r>
        <w:rPr>
          <w:rFonts w:eastAsia="仿宋_GB2312"/>
        </w:rPr>
        <w:t>亿元、</w:t>
      </w:r>
      <w:r>
        <w:rPr>
          <w:rFonts w:eastAsia="仿宋_GB2312"/>
          <w:color w:val="auto"/>
          <w:shd w:val="clear" w:color="auto" w:fill="auto"/>
        </w:rPr>
        <w:t>上年结转专项收入等</w:t>
      </w:r>
      <w:r>
        <w:rPr>
          <w:rFonts w:hint="eastAsia" w:eastAsia="仿宋_GB2312"/>
          <w:color w:val="auto"/>
          <w:shd w:val="clear" w:color="auto" w:fill="auto"/>
          <w:lang w:val="en-US" w:eastAsia="zh-CN"/>
        </w:rPr>
        <w:t>1.25</w:t>
      </w:r>
      <w:r>
        <w:rPr>
          <w:rFonts w:eastAsia="仿宋_GB2312"/>
          <w:color w:val="auto"/>
          <w:shd w:val="clear" w:color="auto" w:fill="auto"/>
        </w:rPr>
        <w:t>亿元后，</w:t>
      </w:r>
      <w:r>
        <w:rPr>
          <w:rFonts w:eastAsia="仿宋_GB2312"/>
        </w:rPr>
        <w:t>收入总计为</w:t>
      </w:r>
      <w:r>
        <w:rPr>
          <w:rFonts w:hint="eastAsia" w:eastAsia="仿宋_GB2312"/>
          <w:lang w:val="en-US" w:eastAsia="zh-CN"/>
        </w:rPr>
        <w:t>11.08</w:t>
      </w:r>
      <w:r>
        <w:rPr>
          <w:rFonts w:eastAsia="仿宋_GB2312"/>
        </w:rPr>
        <w:t>亿元；一般公共预算支出</w:t>
      </w:r>
      <w:r>
        <w:rPr>
          <w:rFonts w:hint="eastAsia" w:eastAsia="仿宋_GB2312"/>
          <w:lang w:val="en-US" w:eastAsia="zh-CN"/>
        </w:rPr>
        <w:t>8.55</w:t>
      </w:r>
      <w:r>
        <w:rPr>
          <w:rFonts w:eastAsia="仿宋_GB2312"/>
        </w:rPr>
        <w:t>亿元，加上上解支出</w:t>
      </w:r>
      <w:r>
        <w:rPr>
          <w:rFonts w:hint="eastAsia" w:eastAsia="仿宋_GB2312"/>
          <w:lang w:val="en-US" w:eastAsia="zh-CN"/>
        </w:rPr>
        <w:t>2.01</w:t>
      </w:r>
      <w:r>
        <w:rPr>
          <w:rFonts w:eastAsia="仿宋_GB2312"/>
        </w:rPr>
        <w:t>亿元、</w:t>
      </w:r>
      <w:r>
        <w:rPr>
          <w:rFonts w:eastAsia="仿宋_GB2312"/>
          <w:shd w:val="clear" w:color="auto" w:fill="auto"/>
        </w:rPr>
        <w:t>结转下年支出</w:t>
      </w:r>
      <w:r>
        <w:rPr>
          <w:rFonts w:hint="eastAsia" w:eastAsia="仿宋_GB2312"/>
          <w:shd w:val="clear" w:color="auto" w:fill="auto"/>
        </w:rPr>
        <w:t>等</w:t>
      </w:r>
      <w:r>
        <w:rPr>
          <w:rFonts w:hint="eastAsia" w:eastAsia="仿宋_GB2312"/>
          <w:shd w:val="clear" w:color="auto" w:fill="auto"/>
          <w:lang w:val="en-US" w:eastAsia="zh-CN"/>
        </w:rPr>
        <w:t>0.52</w:t>
      </w:r>
      <w:r>
        <w:rPr>
          <w:rFonts w:eastAsia="仿宋_GB2312"/>
          <w:shd w:val="clear" w:color="auto" w:fill="auto"/>
        </w:rPr>
        <w:t>亿元后，支出总计为</w:t>
      </w:r>
      <w:r>
        <w:rPr>
          <w:rFonts w:hint="eastAsia" w:eastAsia="仿宋_GB2312"/>
          <w:lang w:val="en-US" w:eastAsia="zh-CN"/>
        </w:rPr>
        <w:t>11.08</w:t>
      </w:r>
      <w:r>
        <w:rPr>
          <w:rFonts w:eastAsia="仿宋_GB2312"/>
          <w:shd w:val="clear" w:color="auto" w:fill="auto"/>
        </w:rPr>
        <w:t>亿元。</w:t>
      </w:r>
    </w:p>
    <w:p>
      <w:pPr>
        <w:spacing w:line="560" w:lineRule="exact"/>
        <w:ind w:firstLine="640" w:firstLineChars="200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52F"/>
    <w:rsid w:val="0000052F"/>
    <w:rsid w:val="0011478E"/>
    <w:rsid w:val="001B305F"/>
    <w:rsid w:val="006006FF"/>
    <w:rsid w:val="00776CA5"/>
    <w:rsid w:val="00A95DF7"/>
    <w:rsid w:val="18C750A1"/>
    <w:rsid w:val="1F9C3E46"/>
    <w:rsid w:val="2D576ECE"/>
    <w:rsid w:val="38B87827"/>
    <w:rsid w:val="38FE15FE"/>
    <w:rsid w:val="586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customStyle="1" w:styleId="5">
    <w:name w:val="Char1"/>
    <w:basedOn w:val="1"/>
    <w:qFormat/>
    <w:uiPriority w:val="0"/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2019-08-12T06:05:00Z</dcterms:created>
  <dc:creator>admin</dc:creator>
  <cp:lastModifiedBy>Administrator</cp:lastModifiedBy>
  <dcterms:modified xsi:type="dcterms:W3CDTF">2020-12-05T10:12:31Z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